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Cs w:val="24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2703195</wp:posOffset>
                </wp:positionH>
                <wp:positionV relativeFrom="paragraph">
                  <wp:posOffset>3810</wp:posOffset>
                </wp:positionV>
                <wp:extent cx="676910" cy="612140"/>
                <wp:effectExtent l="0" t="0" r="0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margin;margin-left:212.85pt;mso-position-horizontal:absolute;mso-position-vertical-relative:text;margin-top:0.30pt;mso-position-vertical:absolute;width:53.30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szCs w:val="24"/>
        </w:rPr>
      </w:r>
    </w:p>
    <w:p>
      <w:pPr>
        <w:jc w:val="center"/>
        <w:keepNext/>
        <w:rPr>
          <w:b/>
          <w:sz w:val="30"/>
          <w:szCs w:val="30"/>
        </w:rPr>
        <w:outlineLvl w:val="3"/>
      </w:pPr>
      <w:r>
        <w:rPr>
          <w:b/>
          <w:sz w:val="30"/>
          <w:szCs w:val="30"/>
        </w:rPr>
        <w:t xml:space="preserve">ДЕПАРТАМЕНТ ФИНАНСОВ</w:t>
      </w:r>
      <w:r>
        <w:rPr>
          <w:b/>
          <w:sz w:val="30"/>
          <w:szCs w:val="30"/>
        </w:rPr>
      </w:r>
    </w:p>
    <w:p>
      <w:pPr>
        <w:jc w:val="center"/>
        <w:tabs>
          <w:tab w:val="left" w:pos="6946" w:leader="none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ХАНТЫ-МАНСИЙСКОГО АВТОНОМНОГО ОКРУГА </w:t>
      </w:r>
      <w:r>
        <w:rPr>
          <w:b/>
          <w:sz w:val="30"/>
          <w:szCs w:val="30"/>
        </w:rPr>
        <w:t xml:space="preserve">–</w:t>
      </w:r>
      <w:r>
        <w:rPr>
          <w:b/>
          <w:sz w:val="30"/>
          <w:szCs w:val="30"/>
        </w:rPr>
        <w:t xml:space="preserve"> ЮГРЫ</w:t>
      </w:r>
      <w:r>
        <w:rPr>
          <w:b/>
          <w:sz w:val="30"/>
          <w:szCs w:val="30"/>
        </w:rPr>
      </w:r>
    </w:p>
    <w:p>
      <w:pPr>
        <w:jc w:val="center"/>
        <w:tabs>
          <w:tab w:val="left" w:pos="8080" w:leader="none"/>
        </w:tabs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keepNext/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регионального этапа Всероссийского конкурса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проектов по представлению бюджета для граждан в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году</w:t>
      </w:r>
      <w:r>
        <w:rPr>
          <w:b/>
          <w:sz w:val="28"/>
          <w:szCs w:val="28"/>
        </w:rPr>
      </w:r>
    </w:p>
    <w:p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4981" w:type="pct"/>
        <w:jc w:val="center"/>
        <w:tblCellSpacing w:w="0" w:type="dxa"/>
        <w:tblCellMar>
          <w:left w:w="15" w:type="dxa"/>
          <w:top w:w="15" w:type="dxa"/>
          <w:right w:w="15" w:type="dxa"/>
          <w:bottom w:w="15" w:type="dxa"/>
        </w:tblCellMar>
        <w:tblLook w:val="00A0" w:firstRow="1" w:lastRow="0" w:firstColumn="1" w:lastColumn="0" w:noHBand="0" w:noVBand="0"/>
      </w:tblPr>
      <w:tblGrid>
        <w:gridCol w:w="3086"/>
        <w:gridCol w:w="3035"/>
        <w:gridCol w:w="2945"/>
      </w:tblGrid>
      <w:tr>
        <w:tblPrEx/>
        <w:trPr>
          <w:jc w:val="center"/>
          <w:tblCellSpacing w:w="0" w:type="dxa"/>
        </w:trPr>
        <w:tc>
          <w:tcPr>
            <w:tcW w:w="1702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13.05.2025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1674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    </w:t>
            </w:r>
            <w:bookmarkStart w:id="0" w:name="_GoBack"/>
            <w:r/>
            <w:bookmarkEnd w:id="0"/>
            <w:r/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1624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20-ОД-55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W w:w="1702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color w:val="d9d9d9"/>
                <w:szCs w:val="24"/>
                <w:lang w:val="en-US"/>
              </w:rPr>
              <w:t xml:space="preserve">[</w:t>
            </w:r>
            <w:r>
              <w:rPr>
                <w:color w:val="d9d9d9"/>
                <w:szCs w:val="24"/>
              </w:rPr>
              <w:t xml:space="preserve">Дата документа</w:t>
            </w:r>
            <w:r>
              <w:rPr>
                <w:color w:val="d9d9d9"/>
                <w:szCs w:val="24"/>
                <w:lang w:val="en-US"/>
              </w:rPr>
              <w:t xml:space="preserve">]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1674" w:type="pct"/>
            <w:textDirection w:val="lrTb"/>
            <w:noWrap w:val="false"/>
          </w:tcPr>
          <w:p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1624" w:type="pct"/>
            <w:textDirection w:val="lrTb"/>
            <w:noWrap w:val="false"/>
          </w:tcPr>
          <w:p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r>
              <w:rPr>
                <w:color w:val="d9d9d9"/>
                <w:szCs w:val="24"/>
              </w:rPr>
              <w:t xml:space="preserve">[Номер документа]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</w:tr>
    </w:tbl>
    <w:p>
      <w:pPr>
        <w:ind w:right="-143"/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 xml:space="preserve">г. Ханты-Мансийск</w:t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Положением о Департаменте финансов Ханты-Мансийского автономного округа – Югры, утвержденным постановлением Губернатора Ханты-Мансийского автономного округа – Югры                           от 6 июня </w:t>
      </w:r>
      <w:r>
        <w:rPr>
          <w:bCs/>
          <w:sz w:val="28"/>
          <w:szCs w:val="28"/>
        </w:rPr>
        <w:t xml:space="preserve">2010 года № 101, в целях обеспечения открытости и    доступности информации об управлении общественными финансами, а также в целях отбора заявок для участия во втором туре федерального Всероссийского конкурса проектов по представлению бюджета для граждан, </w:t>
      </w:r>
      <w:r>
        <w:rPr>
          <w:b/>
          <w:bCs/>
          <w:sz w:val="28"/>
          <w:szCs w:val="28"/>
        </w:rPr>
        <w:t xml:space="preserve">п р и к а з ы в а ю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Провести региональный этап Всероссийского конкурса проектов по представлению бюджета для граждан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году.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Утвердить: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Положение о проведении регионального этапа Всероссийского конкурса проектов по представлению бюджета для граждан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 (Приложение 1).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Состав конкурсной комиссии по проведению регионального этапа Всероссийского конкурса проектов по представлению бюджета для граждан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 (Приложение 2).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tabs>
          <w:tab w:val="left" w:pos="993" w:leader="none"/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Управлению методологии и информационных технологий обеспечить размещение приказа на официальном сайте Департамента финансов Ханты-Мансийского автономного округа – Югры.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 xml:space="preserve">финансовым органам городских округов и муниципальных районов Ханты-Мансийского автономного округа – Югры:</w:t>
      </w:r>
      <w:r>
        <w:rPr>
          <w:sz w:val="28"/>
          <w:szCs w:val="28"/>
        </w:rPr>
      </w:r>
    </w:p>
    <w:p>
      <w:pPr>
        <w:pStyle w:val="736"/>
        <w:ind w:firstLine="709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организации проведения регионального этапа Всероссийского конкурса проектов по представлению бюджета для граждан в 202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году в соответствии с </w:t>
      </w:r>
      <w:hyperlink w:tooltip="ПОЛОЖЕНИЕ" w:anchor="Par36" w:history="1">
        <w:r>
          <w:rPr>
            <w:rFonts w:ascii="Times New Roman" w:hAnsi="Times New Roman" w:eastAsia="Calibri" w:cs="Times New Roman"/>
            <w:sz w:val="28"/>
            <w:szCs w:val="28"/>
            <w:lang w:eastAsia="en-US"/>
          </w:rPr>
          <w:t xml:space="preserve">Положением</w:t>
        </w:r>
      </w:hyperlink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утвержденным настоящим Приказом;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9"/>
        <w:jc w:val="both"/>
        <w:spacing w:line="360" w:lineRule="auto"/>
        <w:tabs>
          <w:tab w:val="left" w:pos="993" w:leader="none"/>
          <w:tab w:val="left" w:pos="1134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содействовать распространению среди физических и юридических лиц информации о Всероссийском</w:t>
      </w:r>
      <w:r>
        <w:t xml:space="preserve"> </w:t>
      </w:r>
      <w:r>
        <w:rPr>
          <w:sz w:val="28"/>
          <w:szCs w:val="28"/>
        </w:rPr>
        <w:t xml:space="preserve">конкурсе</w:t>
      </w:r>
      <w:r>
        <w:rPr>
          <w:bCs/>
          <w:sz w:val="28"/>
          <w:szCs w:val="28"/>
        </w:rPr>
        <w:t xml:space="preserve"> проектов по представлению бюджета для граждан;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региональном этапе конкурса проектов по представлению бюджета для граждан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в номинациях среди юридических лиц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969"/>
        <w:gridCol w:w="1752"/>
      </w:tblGrid>
      <w:tr>
        <w:tblPrEx/>
        <w:trPr>
          <w:trHeight w:val="1443"/>
        </w:trPr>
        <w:tc>
          <w:tcPr>
            <w:shd w:val="clear" w:color="auto" w:fill="auto"/>
            <w:tcW w:w="345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Губернатора</w:t>
            </w:r>
            <w:r>
              <w:rPr>
                <w:sz w:val="28"/>
                <w:szCs w:val="28"/>
              </w:rPr>
              <w:t xml:space="preserve">,</w:t>
            </w:r>
            <w:r>
              <w:t xml:space="preserve"> </w: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86360</wp:posOffset>
                      </wp:positionV>
                      <wp:extent cx="2540000" cy="895350"/>
                      <wp:effectExtent l="0" t="0" r="0" b="0"/>
                      <wp:wrapNone/>
                      <wp:docPr id="2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9"/>
                                <pic:cNvPicPr>
                                  <a:picLocks noChangeAspect="1"/>
                                </pic:cNvPicPr>
                                <pic:nvPr/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z-index:251659776;o:allowoverlap:true;o:allowincell:true;mso-position-horizontal-relative:text;margin-left:170.50pt;mso-position-horizontal:absolute;mso-position-vertical-relative:text;margin-top:6.80pt;mso-position-vertical:absolute;width:200.00pt;height:70.50pt;mso-wrap-distance-left:9.00pt;mso-wrap-distance-top:0.00pt;mso-wrap-distance-right:9.00pt;mso-wrap-distance-bottom:0.00pt;" coordorigin="0,0" coordsize="25400,8953">
                      <v:shape id="shape 2" o:spid="_x0000_s2" o:spt="2" type="#_x0000_t2" style="position:absolute;left:0;top:0;width:25400;height:8953;visibility:visible;" filled="f" strokecolor="#000000" strokeweight="1.00pt">
                        <v:stroke dashstyle="solid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position:absolute;left:1333;top:190;width:3422;height:3060;" stroked="f">
                        <v:path textboxrect="0,0,0,0"/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иректор Департамента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финансов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color w:val="d9d9d9"/>
                <w:sz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</w:rPr>
              <w:t xml:space="preserve">ДОКУМЕНТ ПОДПИСАН</w:t>
            </w:r>
            <w:r>
              <w:rPr>
                <w:rFonts w:ascii="Calibri" w:hAnsi="Calibri" w:cs="Calibri"/>
                <w:b/>
                <w:color w:val="d9d9d9"/>
                <w:sz w:val="20"/>
              </w:rPr>
            </w:r>
          </w:p>
          <w:p>
            <w:pPr>
              <w:jc w:val="center"/>
              <w:rPr>
                <w:rFonts w:ascii="Calibri" w:hAnsi="Calibri" w:cs="Calibri"/>
                <w:b/>
                <w:color w:val="d9d9d9"/>
                <w:sz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</w:rPr>
              <w:t xml:space="preserve">ЭЛЕКТРОННОЙ ПОДПИСЬЮ</w:t>
            </w:r>
            <w:r>
              <w:rPr>
                <w:rFonts w:ascii="Calibri" w:hAnsi="Calibri" w:cs="Calibri"/>
                <w:b/>
                <w:color w:val="d9d9d9"/>
                <w:sz w:val="20"/>
              </w:rPr>
            </w:r>
          </w:p>
          <w:p>
            <w:pPr>
              <w:rPr>
                <w:rFonts w:ascii="Calibri" w:hAnsi="Calibri" w:cs="Calibri"/>
                <w:color w:val="d9d9d9"/>
                <w:sz w:val="8"/>
                <w:szCs w:val="8"/>
              </w:rPr>
            </w:pP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  <w:r>
              <w:rPr>
                <w:rFonts w:ascii="Calibri" w:hAnsi="Calibri" w:cs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Сертификат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Номер сертификата 1]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Действителен с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 по [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W w:w="17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 xml:space="preserve">Дюдина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1</w:t>
      </w:r>
      <w:r>
        <w:rPr>
          <w:iCs/>
          <w:sz w:val="28"/>
          <w:szCs w:val="28"/>
        </w:rPr>
        <w:br/>
        <w:t xml:space="preserve">к приказу Департамента финансов </w:t>
      </w:r>
      <w:r>
        <w:rPr>
          <w:iCs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Югры  </w:t>
      </w:r>
      <w:r>
        <w:rPr>
          <w:iCs/>
          <w:sz w:val="28"/>
          <w:szCs w:val="28"/>
        </w:rPr>
        <w:br/>
        <w:t xml:space="preserve">от </w:t>
      </w:r>
      <w:r>
        <w:rPr>
          <w:iCs/>
          <w:sz w:val="28"/>
          <w:szCs w:val="28"/>
        </w:rPr>
        <w:t xml:space="preserve">__</w:t>
      </w:r>
      <w:r>
        <w:rPr>
          <w:iCs/>
          <w:sz w:val="28"/>
          <w:szCs w:val="28"/>
        </w:rPr>
        <w:t xml:space="preserve">.0</w:t>
      </w:r>
      <w:r>
        <w:rPr>
          <w:iCs/>
          <w:sz w:val="28"/>
          <w:szCs w:val="28"/>
        </w:rPr>
        <w:t xml:space="preserve">5</w:t>
      </w:r>
      <w:r>
        <w:rPr>
          <w:iCs/>
          <w:sz w:val="28"/>
          <w:szCs w:val="28"/>
        </w:rPr>
        <w:t xml:space="preserve">.202</w:t>
      </w:r>
      <w:r>
        <w:rPr>
          <w:iCs/>
          <w:sz w:val="28"/>
          <w:szCs w:val="28"/>
        </w:rPr>
        <w:t xml:space="preserve">5</w:t>
      </w:r>
      <w:r>
        <w:rPr>
          <w:iCs/>
          <w:sz w:val="28"/>
          <w:szCs w:val="28"/>
        </w:rPr>
        <w:t xml:space="preserve"> г. № 20-ОД-____</w:t>
      </w:r>
      <w:r>
        <w:rPr>
          <w:sz w:val="28"/>
          <w:szCs w:val="28"/>
        </w:rPr>
      </w:r>
    </w:p>
    <w:p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7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регионального этапа Всероссийского конкурса проектов по представлению бюджета для граждан </w:t>
      </w:r>
      <w:r>
        <w:rPr>
          <w:sz w:val="28"/>
          <w:szCs w:val="28"/>
        </w:rPr>
      </w:r>
    </w:p>
    <w:p>
      <w:pPr>
        <w:pStyle w:val="718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b w:val="0"/>
          <w:bCs/>
          <w:sz w:val="28"/>
          <w:szCs w:val="28"/>
        </w:rPr>
      </w:r>
    </w:p>
    <w:p>
      <w:pPr>
        <w:jc w:val="center"/>
        <w:spacing w:line="360" w:lineRule="auto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Всероссийский конкурс проектов по представлению бюджета д</w:t>
      </w:r>
      <w:r>
        <w:rPr>
          <w:sz w:val="28"/>
          <w:szCs w:val="28"/>
        </w:rPr>
        <w:t xml:space="preserve">ля граждан (далее –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 Региональный этап Всероссийского конкурса проектов по представлению бюджета для</w:t>
      </w:r>
      <w:r>
        <w:rPr>
          <w:sz w:val="28"/>
          <w:szCs w:val="28"/>
        </w:rPr>
        <w:t xml:space="preserve"> граждан (далее – региональный конкурсный отбор) проводится в целях определения победителей на основе отбора заявок, содержащих конкурсный проект, для последующего участия во втором туре федерального конкурса проектов по представлению бюджета для граждан. 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Региональный конкурсный отбор проводится в рамках первого тура федерального Конкурса.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Организатором регионального конкурсного отбора является Департамент финансов Ханты-Мансийского автономного округа – Югры (далее – Организатор регионального конкурсного отбора).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Финансовым органам городских округов и муниципаль</w:t>
      </w:r>
      <w:r>
        <w:rPr>
          <w:sz w:val="28"/>
          <w:szCs w:val="28"/>
        </w:rPr>
        <w:t xml:space="preserve">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регионального конкурсного отбора, рекомендуется обеспечить распространение среди физических и </w:t>
      </w:r>
      <w:r>
        <w:rPr>
          <w:sz w:val="28"/>
          <w:szCs w:val="28"/>
        </w:rPr>
        <w:t xml:space="preserve">юридических лиц информации о</w:t>
      </w:r>
      <w:r>
        <w:t xml:space="preserve"> </w:t>
      </w:r>
      <w:r>
        <w:rPr>
          <w:sz w:val="28"/>
          <w:szCs w:val="28"/>
        </w:rPr>
        <w:t xml:space="preserve">конкурсе</w:t>
      </w:r>
      <w:r>
        <w:rPr>
          <w:bCs/>
          <w:sz w:val="28"/>
          <w:szCs w:val="28"/>
        </w:rPr>
        <w:t xml:space="preserve"> проектов по представлению бюджета для граждан и </w:t>
      </w:r>
      <w:r>
        <w:rPr>
          <w:sz w:val="28"/>
          <w:szCs w:val="28"/>
        </w:rPr>
        <w:t xml:space="preserve">сбором заявок, содержащих конкурсный проект, с последующим направлением Организатору регионального конкурсного отбора. </w:t>
      </w:r>
      <w:r>
        <w:rPr>
          <w:sz w:val="28"/>
          <w:szCs w:val="28"/>
        </w:rPr>
      </w:r>
    </w:p>
    <w:p>
      <w:pPr>
        <w:pStyle w:val="736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Второй тур Конкурса проводится</w:t>
      </w:r>
      <w:r>
        <w:rPr>
          <w:rFonts w:ascii="Times New Roman" w:hAnsi="Times New Roman"/>
          <w:sz w:val="28"/>
          <w:szCs w:val="28"/>
        </w:rPr>
        <w:t xml:space="preserve">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 </w:t>
      </w:r>
      <w:hyperlink r:id="rId13" w:tooltip="http://www.fa.ru" w:history="1">
        <w:r>
          <w:rPr>
            <w:rStyle w:val="749"/>
            <w:rFonts w:ascii="Times New Roman" w:hAnsi="Times New Roman"/>
            <w:sz w:val="28"/>
            <w:szCs w:val="28"/>
            <w:lang w:val="en-US"/>
          </w:rPr>
          <w:t xml:space="preserve">www</w:t>
        </w:r>
        <w:r>
          <w:rPr>
            <w:rStyle w:val="749"/>
            <w:rFonts w:ascii="Times New Roman" w:hAnsi="Times New Roman"/>
            <w:sz w:val="28"/>
            <w:szCs w:val="28"/>
          </w:rPr>
          <w:t xml:space="preserve">.</w:t>
        </w:r>
        <w:r>
          <w:rPr>
            <w:rStyle w:val="749"/>
            <w:rFonts w:ascii="Times New Roman" w:hAnsi="Times New Roman"/>
            <w:sz w:val="28"/>
            <w:szCs w:val="28"/>
            <w:lang w:val="en-US"/>
          </w:rPr>
          <w:t xml:space="preserve">f</w:t>
        </w:r>
        <w:r>
          <w:rPr>
            <w:rStyle w:val="749"/>
            <w:rFonts w:ascii="Times New Roman" w:hAnsi="Times New Roman"/>
            <w:sz w:val="28"/>
            <w:szCs w:val="28"/>
          </w:rPr>
          <w:t xml:space="preserve">a.ru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1.5. Конкурс является открытым. Участниками Конкурса могут быть физические и 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проживающие и зарегистрированные </w:t>
      </w:r>
      <w:r>
        <w:rPr>
          <w:sz w:val="28"/>
          <w:szCs w:val="28"/>
        </w:rPr>
        <w:t xml:space="preserve">на территории Ханты-Мансийского автономного округа – Югры</w:t>
      </w:r>
      <w:r>
        <w:rPr>
          <w:sz w:val="28"/>
          <w:szCs w:val="28"/>
        </w:rPr>
        <w:t xml:space="preserve">. Конкурс среди физических лиц и среди юридических лиц проводится отдельно. 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1.6. Предметом Конкурса является разработка проекта по представлению информации о бюджете в доступной для граждан форме (далее – конкурсный проект), соответствующего требованиям, </w:t>
      </w:r>
      <w:r>
        <w:rPr>
          <w:sz w:val="28"/>
          <w:szCs w:val="28"/>
        </w:rPr>
        <w:t xml:space="preserve">установленным настоящим Положением.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претенденты должны представить Конкурс</w:t>
      </w:r>
      <w:r>
        <w:rPr>
          <w:sz w:val="28"/>
          <w:szCs w:val="28"/>
        </w:rPr>
        <w:t xml:space="preserve">ный проект по номинации (-ям) с указанием предложений по практической реализации проекта, а также отдельный документ (файл), содержащий описание конкретных предложений по реализации конкурсного проекта и практическому применению результатов его реализации.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1.7. Конкурс проводится: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 младше 15 лет по следующим номинациям: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«Бюджет для граждан в современных формах искусства»;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«Лучший видеоролик о бюджете»;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«Информационные карточки по бюджету для социальных сетей и мессенджеров»;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«Лучшая настольная игра о бюджете для граждан»;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«Бюджет и технологии будущего».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 старше 15 лет по следующим номинациям: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«Бюджет для граждан в современных формах искусства»;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«Лучший видеоролик о бюджете»;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«Информационные карточки по бюджету для социальных сетей и мессенджеров»;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«Лучшее предложение по изменению бюджетного законодательства»;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«Лучшая настольная игра о бюджете для граждан»;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«Бюджет и технологии будущего».</w:t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юридических лиц по следующим номинациям:</w:t>
      </w:r>
      <w:r>
        <w:rPr>
          <w:sz w:val="28"/>
          <w:szCs w:val="28"/>
        </w:rPr>
      </w:r>
    </w:p>
    <w:p>
      <w:pPr>
        <w:numPr>
          <w:ilvl w:val="0"/>
          <w:numId w:val="19"/>
        </w:numPr>
        <w:ind w:left="0" w:firstLine="709"/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«Современные формы представления проекта регионального бюджета для граждан»;</w:t>
      </w:r>
      <w:r>
        <w:rPr>
          <w:sz w:val="28"/>
          <w:szCs w:val="28"/>
        </w:rPr>
      </w:r>
    </w:p>
    <w:p>
      <w:pPr>
        <w:numPr>
          <w:ilvl w:val="0"/>
          <w:numId w:val="19"/>
        </w:numPr>
        <w:ind w:left="0" w:firstLine="709"/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«Современные формы представления проекта местного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для граждан»;</w:t>
      </w:r>
      <w:r>
        <w:rPr>
          <w:sz w:val="28"/>
          <w:szCs w:val="28"/>
        </w:rPr>
      </w:r>
    </w:p>
    <w:p>
      <w:pPr>
        <w:pStyle w:val="750"/>
        <w:numPr>
          <w:ilvl w:val="0"/>
          <w:numId w:val="19"/>
        </w:numPr>
        <w:contextualSpacing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«Лучшее обучающее мероприятие по бюджетной тематике»;</w:t>
      </w:r>
      <w:r>
        <w:rPr>
          <w:sz w:val="28"/>
          <w:szCs w:val="28"/>
        </w:rPr>
      </w:r>
    </w:p>
    <w:p>
      <w:pPr>
        <w:pStyle w:val="750"/>
        <w:numPr>
          <w:ilvl w:val="0"/>
          <w:numId w:val="19"/>
        </w:numPr>
        <w:contextualSpacing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«Лучшая информационная панель (</w:t>
      </w:r>
      <w:r>
        <w:rPr>
          <w:sz w:val="28"/>
          <w:szCs w:val="28"/>
        </w:rPr>
        <w:t xml:space="preserve">дашборд</w:t>
      </w:r>
      <w:r>
        <w:rPr>
          <w:sz w:val="28"/>
          <w:szCs w:val="28"/>
        </w:rPr>
        <w:t xml:space="preserve">) по бюджету для граждан»;</w:t>
      </w:r>
      <w:r>
        <w:rPr>
          <w:sz w:val="28"/>
          <w:szCs w:val="28"/>
        </w:rPr>
      </w:r>
    </w:p>
    <w:p>
      <w:pPr>
        <w:pStyle w:val="750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«Бюджет для граждан от СМИ»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50"/>
        <w:numPr>
          <w:ilvl w:val="0"/>
          <w:numId w:val="19"/>
        </w:numPr>
        <w:ind w:left="851" w:hanging="142"/>
        <w:jc w:val="both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«Бюджет и технологии будущего».</w:t>
      </w:r>
      <w:r>
        <w:rPr>
          <w:sz w:val="28"/>
          <w:szCs w:val="28"/>
        </w:rPr>
      </w:r>
    </w:p>
    <w:p>
      <w:pPr>
        <w:jc w:val="center"/>
        <w:keepNext/>
        <w:spacing w:line="360" w:lineRule="auto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Организация проведения регионального</w:t>
      </w:r>
      <w:r>
        <w:rPr>
          <w:b/>
          <w:sz w:val="28"/>
          <w:szCs w:val="28"/>
        </w:rPr>
        <w:t xml:space="preserve"> конкурсного отбора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Организатор регионального конкурсного отбора: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объявляет о проведении регионального конкурсного отбора;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ведет прием и учет заявок на участие в региональном конкурсном отборе от претендентов и от финансовых органов муниципальных образований, получивших заявки от претендентов, формирует перечень претендентов на участие в Конкурсе;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обеспечивает сохранность заявок, а также конфиденциальность полученной информации</w:t>
      </w:r>
      <w:r>
        <w:rPr>
          <w:sz w:val="28"/>
          <w:szCs w:val="28"/>
        </w:rPr>
        <w:t xml:space="preserve"> и результатов оценки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уведомляет претендентов, которым было отказано в доступе к участию в Конкурсе, и претендентов, не прошедших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второй тур федерального Конкурса;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направляет заявки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содержащие конкурсные проекты, являющиеся победителями регионального конку</w:t>
      </w:r>
      <w:r>
        <w:rPr>
          <w:sz w:val="28"/>
          <w:szCs w:val="28"/>
        </w:rPr>
        <w:t xml:space="preserve">рсного отбора, для участия во втором туре федерального Конкурса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и уведомляет об этом участников Конкурса.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Финансовые органы муниципальных образований, в случае принятия участия в организации проведения регионального конкурсного отбора:</w:t>
      </w:r>
      <w:r>
        <w:rPr>
          <w:sz w:val="28"/>
          <w:szCs w:val="28"/>
        </w:rPr>
      </w:r>
    </w:p>
    <w:p>
      <w:pPr>
        <w:pStyle w:val="736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содействуют распространению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Конкурсе в целях привлечения их к участию;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осуществляют сбор заявок претендентов на участие в региональном конкурсном отборе по форме п</w:t>
      </w:r>
      <w:r>
        <w:rPr>
          <w:iCs/>
          <w:sz w:val="28"/>
          <w:szCs w:val="28"/>
        </w:rPr>
        <w:t xml:space="preserve">риложения 2 к </w:t>
      </w:r>
      <w:r>
        <w:rPr>
          <w:sz w:val="28"/>
          <w:szCs w:val="28"/>
        </w:rPr>
        <w:t xml:space="preserve">Положению </w:t>
      </w: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 (далее – Положение),</w:t>
      </w:r>
      <w:r>
        <w:rPr>
          <w:sz w:val="28"/>
          <w:szCs w:val="28"/>
        </w:rPr>
        <w:t xml:space="preserve"> содержащие конкурсные проекты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настоящего Положения;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обеспечивают конфиденциальность полученной информации;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 направляют заявки претендентов, содержащие конкурсные проекты, Организатору регионального конкурсного отбора.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К</w:t>
      </w:r>
      <w:r>
        <w:rPr>
          <w:bCs/>
          <w:sz w:val="28"/>
          <w:szCs w:val="28"/>
        </w:rPr>
        <w:t xml:space="preserve">онкурсная комиссия регионального конкурсного отбора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проверяет соответствие заявок претендентов на участие в региональном конкурсном отборе установленным требованиям;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осуществляет оценку конкурсных проектов претендентов по основному и дополнительным критериям;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формирует и утверждает </w:t>
      </w:r>
      <w:r>
        <w:rPr>
          <w:sz w:val="28"/>
          <w:szCs w:val="28"/>
        </w:rPr>
        <w:t xml:space="preserve">итоговую</w:t>
      </w:r>
      <w:r>
        <w:rPr>
          <w:sz w:val="28"/>
          <w:szCs w:val="28"/>
        </w:rPr>
        <w:t xml:space="preserve"> оценку </w:t>
      </w:r>
      <w:r>
        <w:rPr>
          <w:sz w:val="28"/>
          <w:szCs w:val="28"/>
        </w:rPr>
        <w:t xml:space="preserve">конкурсных проектов</w:t>
      </w:r>
      <w:r>
        <w:rPr>
          <w:sz w:val="28"/>
          <w:szCs w:val="28"/>
        </w:rPr>
        <w:t xml:space="preserve"> участников Конкурса</w:t>
      </w:r>
      <w:r>
        <w:rPr>
          <w:sz w:val="28"/>
          <w:szCs w:val="28"/>
        </w:rPr>
        <w:t xml:space="preserve"> и отбирает </w:t>
      </w:r>
      <w:r>
        <w:rPr>
          <w:sz w:val="28"/>
          <w:szCs w:val="28"/>
        </w:rPr>
        <w:t xml:space="preserve">победител</w:t>
      </w:r>
      <w:r>
        <w:rPr>
          <w:sz w:val="28"/>
          <w:szCs w:val="28"/>
        </w:rPr>
        <w:t xml:space="preserve">ей регионального конкурсного </w:t>
      </w:r>
      <w:r>
        <w:rPr>
          <w:sz w:val="28"/>
          <w:szCs w:val="28"/>
        </w:rPr>
        <w:t xml:space="preserve">отбора для участия во втором туре федерального конкурса проектов по представлению бюджета для граждан.</w:t>
      </w:r>
      <w:r>
        <w:rPr>
          <w:sz w:val="28"/>
          <w:szCs w:val="28"/>
        </w:rPr>
      </w:r>
    </w:p>
    <w:p>
      <w:pPr>
        <w:jc w:val="center"/>
        <w:spacing w:line="360" w:lineRule="auto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III. Порядок и сроки проведения регионального </w:t>
      </w:r>
      <w:r>
        <w:rPr>
          <w:b/>
          <w:sz w:val="28"/>
          <w:szCs w:val="28"/>
        </w:rPr>
        <w:t xml:space="preserve">конкурсного отбора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3.1. Не позднее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Организатор регионального конкурсного отбора размещает на официальном сайте Департамента финансов Ханты-Мансийского автономного округа – Югры объявление в сети Интернет, а также направляет конкурсные материалы в финансовые органы муниципальных образований.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3.2. Объявление о проведении регионального конкурсного отбора содержит следующие сведения: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дата и время начала и окончания приема заявок;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форму заявки;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место приема заявок.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3.3. Для участия в Конкурсе претендент представляет заявку для участия в региональном конкурсном отборе</w:t>
      </w:r>
      <w:r>
        <w:rPr>
          <w:sz w:val="28"/>
          <w:szCs w:val="28"/>
        </w:rPr>
        <w:t xml:space="preserve"> заполненную машинописным текстом</w:t>
      </w:r>
      <w:r>
        <w:rPr>
          <w:sz w:val="28"/>
          <w:szCs w:val="28"/>
        </w:rPr>
        <w:t xml:space="preserve">, а также конкурсный проект по представлению бюджета для граждан (с приложен</w:t>
      </w:r>
      <w:r>
        <w:rPr>
          <w:sz w:val="28"/>
          <w:szCs w:val="28"/>
        </w:rPr>
        <w:t xml:space="preserve">ием презентаций, статей, буклетов, указанием ссылок на Интернет-ресурсы и т.п.) Организатору регионального конкурсного отбора или в финансовый орган муниципального образования, в котором находится претендент, в порядке, установленном настоящим Положением.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должен соответствовать требованиям к содержанию конкурсных заданий по номинациям (приложение 1 к настоящему Положению).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3.4. Время и дата начала приема заявок: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10.00 (время местное)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13 мая</w:t>
      </w:r>
      <w:r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года. </w:t>
      </w:r>
      <w:r>
        <w:rPr>
          <w:sz w:val="28"/>
          <w:szCs w:val="28"/>
          <w:u w:val="single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и дата окончания приема заявок:</w:t>
      </w:r>
      <w:r>
        <w:rPr>
          <w:sz w:val="28"/>
          <w:szCs w:val="28"/>
        </w:rPr>
      </w:r>
    </w:p>
    <w:p>
      <w:pPr>
        <w:pStyle w:val="753"/>
        <w:ind w:left="0" w:firstLine="708"/>
        <w:jc w:val="both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</w:t>
      </w:r>
      <w:r>
        <w:rPr>
          <w:sz w:val="28"/>
          <w:szCs w:val="28"/>
          <w:u w:val="single"/>
        </w:rPr>
        <w:t xml:space="preserve">.00 (время местное) 16 июня 2025</w:t>
      </w:r>
      <w:r>
        <w:rPr>
          <w:sz w:val="28"/>
          <w:szCs w:val="28"/>
          <w:u w:val="single"/>
        </w:rPr>
        <w:t xml:space="preserve"> года.</w:t>
      </w:r>
      <w:r>
        <w:rPr>
          <w:sz w:val="28"/>
          <w:szCs w:val="28"/>
          <w:u w:val="single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и дата окончания приема заявок финансовым органом муниципального образования, в случае принятия участия в проведении регионального конкурсного отбора:</w:t>
      </w:r>
      <w:r>
        <w:rPr>
          <w:sz w:val="28"/>
          <w:szCs w:val="28"/>
        </w:rPr>
      </w:r>
    </w:p>
    <w:p>
      <w:pPr>
        <w:pStyle w:val="753"/>
        <w:ind w:left="0" w:firstLine="708"/>
        <w:jc w:val="both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17.00 (время местное) 1</w:t>
      </w:r>
      <w:r>
        <w:rPr>
          <w:sz w:val="28"/>
          <w:szCs w:val="28"/>
          <w:u w:val="single"/>
        </w:rPr>
        <w:t xml:space="preserve">3</w:t>
      </w:r>
      <w:r>
        <w:rPr>
          <w:sz w:val="28"/>
          <w:szCs w:val="28"/>
          <w:u w:val="single"/>
        </w:rPr>
        <w:t xml:space="preserve"> июня 202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 года.</w:t>
      </w:r>
      <w:r>
        <w:rPr>
          <w:sz w:val="28"/>
          <w:szCs w:val="28"/>
          <w:u w:val="single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3.5. Заявка по форме приложения 2 к Положению на участие в </w:t>
      </w:r>
      <w:r>
        <w:rPr>
          <w:sz w:val="28"/>
          <w:szCs w:val="28"/>
        </w:rPr>
        <w:t xml:space="preserve">Всероссийском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региональном конкурсном отборе предоставляется претендентом в бумажном и (или) в электронно</w:t>
      </w:r>
      <w:r>
        <w:rPr>
          <w:sz w:val="28"/>
          <w:szCs w:val="28"/>
        </w:rPr>
        <w:t xml:space="preserve">м образе документа, полученного в результате сканирования документа</w:t>
      </w:r>
      <w:r>
        <w:rPr>
          <w:sz w:val="28"/>
          <w:szCs w:val="28"/>
        </w:rPr>
        <w:t xml:space="preserve">, с указанием в теме письма: Региональный этап </w:t>
      </w: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проектов по представлению бюджета для граждан, следующими способами: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лично или почтовым отправлением на адрес О</w:t>
      </w:r>
      <w:r>
        <w:rPr>
          <w:sz w:val="28"/>
          <w:szCs w:val="28"/>
        </w:rPr>
        <w:t xml:space="preserve">рганизатора регионального конкурсного отбора: ул. Мира, дом 5, г. Ханты-Мансийск, Ханты-Мансийский автономный округ – Югра (Тюменская область), 628006, или на адрес финансового органа муниципального образования, на территории которого находится претендент;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14" w:tooltip="mailto:depfin@admhmaо.ru" w:history="1">
        <w:r>
          <w:rPr>
            <w:rStyle w:val="749"/>
            <w:sz w:val="28"/>
            <w:szCs w:val="28"/>
          </w:rPr>
          <w:t xml:space="preserve">depfin@admhmaо.ru</w:t>
        </w:r>
      </w:hyperlink>
      <w:r>
        <w:rPr>
          <w:sz w:val="28"/>
          <w:szCs w:val="28"/>
        </w:rPr>
        <w:t xml:space="preserve">, или на электронный адрес финансового органа муниципального образования, на территории которого находится претендент.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адресе финансового органа муниципального образования можно получить у контактного лица по вопросам проведения регионального этапа конкурсного отбора, указанного в объявлении о проведении регионального конкурсного отбора.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3.6. Заявка по форме приложения 2 к Положению на участие в региональном конкурсном о</w:t>
      </w:r>
      <w:r>
        <w:rPr>
          <w:sz w:val="28"/>
          <w:szCs w:val="28"/>
        </w:rPr>
        <w:t xml:space="preserve">тборе, содержащая конкурсный проект, финансовым органом муниципального образования, в случае принятия участия в организации проведения регионального конкурсного отбора, направляется Организатору регионального конкурсного отбора на адрес электронной почты: </w:t>
      </w:r>
      <w:hyperlink r:id="rId15" w:tooltip="mailto:depfin@admhmaо.ru" w:history="1">
        <w:r>
          <w:rPr>
            <w:rStyle w:val="749"/>
            <w:sz w:val="28"/>
            <w:szCs w:val="28"/>
          </w:rPr>
          <w:t xml:space="preserve">depfin@admhmaо.ru</w:t>
        </w:r>
      </w:hyperlink>
      <w:r>
        <w:rPr>
          <w:rStyle w:val="749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) рабочих дней со дня окончания приема заявок.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Претендент предоставляет только одну заявку на участие с указанием в ней соответствующей(-их) номинации (-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). Не допускается представление одного и того же проекта для участия в Конкурсе </w:t>
      </w:r>
      <w:r>
        <w:rPr>
          <w:sz w:val="28"/>
          <w:szCs w:val="28"/>
        </w:rPr>
        <w:t xml:space="preserve">одновременно от физического и юридического лица</w:t>
      </w:r>
      <w:r>
        <w:rPr>
          <w:sz w:val="28"/>
          <w:szCs w:val="28"/>
        </w:rPr>
        <w:t xml:space="preserve">, на участие в региональном конкурсном отборе и напрямую в федеральном Конкурсе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участником одного конкурсного проекта сразу в нескольких номинациях Конкурсная комиссия имеет право отклонить проект для участия в той (тех) номинации (-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), критериям которой(-ых) он не соответствует.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Физическое или юридическое лицо представляет заявку для участия не более чем в двух номинациях Конкурса.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физическим или юридическим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3.8. Заявка для участия в региональном конкурсном отборе подается в унифицированной </w:t>
      </w:r>
      <w:r>
        <w:rPr>
          <w:sz w:val="28"/>
          <w:szCs w:val="28"/>
        </w:rPr>
        <w:t xml:space="preserve">форме согласно приложения 2 к Положению с указанием в ней номинаций, сведений об участнике (фамилия и инициалы– для физического лица, наименование организации – для юридического лица) и контактной информации для юридического лица, адрес электронной почты. 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конкурсный проект разработан группой авторов, в заявке на участие в Конкурсе указываются сведения обо всех авторах, их адреса электронной почты. Заявка юридического лица подписывается руководителем организации и заверяется печатью.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3.9. При разработке конкурсного проекта участники Конкурса должны руководствоваться следующими требованиями:</w:t>
      </w:r>
      <w:r>
        <w:rPr>
          <w:sz w:val="28"/>
          <w:szCs w:val="28"/>
        </w:rPr>
      </w:r>
    </w:p>
    <w:p>
      <w:pPr>
        <w:numPr>
          <w:ilvl w:val="0"/>
          <w:numId w:val="18"/>
        </w:numPr>
        <w:ind w:left="0" w:firstLine="709"/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соответствие содержания конкурсного проекта выбранной номинации (-ям);</w:t>
      </w:r>
      <w:r>
        <w:rPr>
          <w:sz w:val="28"/>
          <w:szCs w:val="28"/>
        </w:rPr>
      </w:r>
    </w:p>
    <w:p>
      <w:pPr>
        <w:numPr>
          <w:ilvl w:val="0"/>
          <w:numId w:val="18"/>
        </w:numPr>
        <w:ind w:left="0" w:firstLine="709"/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актуальности, цели, задач и обоснованных выводов по используемым в номинации проблемам;</w:t>
      </w:r>
      <w:r>
        <w:rPr>
          <w:sz w:val="28"/>
          <w:szCs w:val="28"/>
        </w:rPr>
      </w:r>
    </w:p>
    <w:p>
      <w:pPr>
        <w:numPr>
          <w:ilvl w:val="0"/>
          <w:numId w:val="18"/>
        </w:numPr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возможность практического применения.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3.10. К участию в региональном конкурсном отборе допускаются физические и юридические лица, заявки которых соответствуют следующим требованиям: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предоставление заявки в срок;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оригинальность, отсутствие дублирования с заявками прошлых лет и текущего года по другим номинациям;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указание номинаций, в которых представлен проект;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 соответствие конкурсного проекта критериям по указанным в заявке номинациям в соответствии с приложением 1 к настоящему Положению;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наличи</w:t>
      </w:r>
      <w:r>
        <w:rPr>
          <w:sz w:val="28"/>
          <w:szCs w:val="28"/>
        </w:rPr>
        <w:t xml:space="preserve">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е) подготовка материалов проекта с использованием стандартного сертифицированного программного обеспечения ОС </w:t>
      </w:r>
      <w:r>
        <w:rPr>
          <w:sz w:val="28"/>
          <w:szCs w:val="28"/>
          <w:lang w:val="en-US"/>
        </w:rPr>
        <w:t xml:space="preserve">Windows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возможность их открытия и/или воспроизведения на стационарном ПК.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3.11.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</w:t>
      </w:r>
      <w:r>
        <w:rPr>
          <w:bCs/>
          <w:sz w:val="28"/>
          <w:szCs w:val="28"/>
        </w:rPr>
        <w:t xml:space="preserve">регионального конкурсного отбора</w:t>
      </w:r>
      <w:r>
        <w:rPr>
          <w:sz w:val="28"/>
          <w:szCs w:val="28"/>
        </w:rPr>
        <w:t xml:space="preserve"> проверяет соответствие заявок, содержащих конкурсный проект, установленным требованиям в пунктах 3.7 - 3.10 настоящего Положения.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осуществляет оценку заявок по каждой номинации в соответствии с приложением 1 к настоящему Положению.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</w:t>
      </w:r>
      <w:r>
        <w:rPr>
          <w:sz w:val="28"/>
          <w:szCs w:val="28"/>
        </w:rPr>
        <w:t xml:space="preserve">десятибальной</w:t>
      </w:r>
      <w:r>
        <w:rPr>
          <w:sz w:val="28"/>
          <w:szCs w:val="28"/>
        </w:rPr>
        <w:t xml:space="preserve">, а по дополнительным по </w:t>
      </w:r>
      <w:r>
        <w:rPr>
          <w:sz w:val="28"/>
          <w:szCs w:val="28"/>
        </w:rPr>
        <w:t xml:space="preserve">пятибальной</w:t>
      </w:r>
      <w:r>
        <w:rPr>
          <w:sz w:val="28"/>
          <w:szCs w:val="28"/>
        </w:rPr>
        <w:t xml:space="preserve"> шкале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практическому применению результатов реализации проекта по </w:t>
      </w:r>
      <w:r>
        <w:rPr>
          <w:sz w:val="28"/>
          <w:szCs w:val="28"/>
        </w:rPr>
        <w:t xml:space="preserve">пятибальной</w:t>
      </w:r>
      <w:r>
        <w:rPr>
          <w:sz w:val="28"/>
          <w:szCs w:val="28"/>
        </w:rPr>
        <w:t xml:space="preserve"> шкале.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заявок участников формируется посредством </w:t>
      </w:r>
      <w:r>
        <w:rPr>
          <w:sz w:val="28"/>
          <w:szCs w:val="28"/>
        </w:rPr>
        <w:t xml:space="preserve">суммирования баллов всех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Конкурсной комиссии.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3.12. Конкурсная комиссия формирует перечень победителей регионального конкурсного отбора, который состоит не более чем из трех участников, набравших наибольшее количество баллов по результатам итоговой оценки в каждой номинации</w:t>
      </w:r>
      <w:r>
        <w:rPr>
          <w:sz w:val="28"/>
          <w:szCs w:val="28"/>
        </w:rPr>
        <w:t xml:space="preserve"> отдельно в категориях физических лиц младше 15 лет, физических лиц старше 15 лет и юридических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3.13. Претенденты, которым было отказано в допуске к участию в региональном конкурсном отборе, а также претенденты, не прошедшие региональный конкурсный отбор, уведомляются об этом посредством электронной почты, указанной в заявке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3 (трех) рабочих дней после заседания Конкурсной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3.14. Участники, победившие в региональном конкурсном отборе, уведомляются об этом посредством электронной почты, указанной в заявке в течении 3 (трех) рабочих дней после заседания Конкурсной комиссии.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3.15. Участники, победившие в региональном конкурсном отборе и желающие участвовать во втором туре федерального Конкурса, в течении 5 (пяти) рабочих дней после получения уведомления от Организатора регионального конкурсного отбора направляют </w:t>
      </w:r>
      <w:r>
        <w:rPr>
          <w:iCs/>
          <w:sz w:val="28"/>
          <w:szCs w:val="28"/>
        </w:rPr>
        <w:t xml:space="preserve">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данных.</w:t>
      </w:r>
      <w:r>
        <w:rPr>
          <w:iCs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Согласие на обработку персональных данных заполняется</w:t>
      </w:r>
      <w:r>
        <w:rPr>
          <w:iCs/>
          <w:sz w:val="28"/>
          <w:szCs w:val="28"/>
        </w:rPr>
        <w:t xml:space="preserve"> в зависимости от возраста претендента, лица подающего заявку, </w:t>
      </w:r>
      <w:r>
        <w:rPr>
          <w:iCs/>
          <w:sz w:val="28"/>
          <w:szCs w:val="28"/>
        </w:rPr>
        <w:t xml:space="preserve">его</w:t>
      </w:r>
      <w:r>
        <w:rPr>
          <w:iCs/>
          <w:sz w:val="28"/>
          <w:szCs w:val="28"/>
        </w:rPr>
        <w:t xml:space="preserve"> местонахождения </w:t>
      </w:r>
      <w:r>
        <w:rPr>
          <w:iCs/>
          <w:sz w:val="28"/>
          <w:szCs w:val="28"/>
        </w:rPr>
        <w:t xml:space="preserve">по форме </w:t>
      </w:r>
      <w:r>
        <w:rPr>
          <w:iCs/>
          <w:sz w:val="28"/>
          <w:szCs w:val="28"/>
        </w:rPr>
        <w:t xml:space="preserve">согласно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4,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5,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6,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7,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8, приложени</w:t>
      </w:r>
      <w:r>
        <w:rPr>
          <w:iCs/>
          <w:sz w:val="28"/>
          <w:szCs w:val="28"/>
        </w:rPr>
        <w:t xml:space="preserve">ю</w:t>
      </w:r>
      <w:r>
        <w:rPr>
          <w:iCs/>
          <w:sz w:val="28"/>
          <w:szCs w:val="28"/>
        </w:rPr>
        <w:t xml:space="preserve"> 9 </w:t>
      </w:r>
      <w:r>
        <w:rPr>
          <w:iCs/>
          <w:sz w:val="28"/>
          <w:szCs w:val="28"/>
        </w:rPr>
        <w:t xml:space="preserve">к настоящему </w:t>
      </w:r>
      <w:r>
        <w:rPr>
          <w:iCs/>
          <w:sz w:val="28"/>
          <w:szCs w:val="28"/>
        </w:rPr>
        <w:t xml:space="preserve">Положению.</w:t>
      </w:r>
      <w:r>
        <w:rPr>
          <w:iCs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3.16. Заявка на участие в конкурсе проектов по представлению бюджета для граждан по форме согласно приложению 3 к настоящему Положению и Согласие на обработку персональных данных предоставляется претендентом </w:t>
      </w:r>
      <w:r>
        <w:rPr>
          <w:sz w:val="28"/>
          <w:szCs w:val="28"/>
        </w:rPr>
        <w:t xml:space="preserve">в бумажном и (или) в электронном образе документа, полученного в результате сканирования документа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следующими способами:</w:t>
      </w:r>
      <w:r>
        <w:rPr>
          <w:iCs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>
        <w:rPr>
          <w:sz w:val="28"/>
          <w:szCs w:val="28"/>
        </w:rPr>
        <w:t xml:space="preserve">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628006; 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16" w:tooltip="mailto:depfin@admhmaо.ru" w:history="1">
        <w:r>
          <w:rPr>
            <w:rStyle w:val="749"/>
            <w:sz w:val="28"/>
            <w:szCs w:val="28"/>
          </w:rPr>
          <w:t xml:space="preserve">depfin@admhmaо.ru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3.17. Участник, не изъявивший желание участвовать во втором туре федерального Конкурса, вправе отказаться от дальнейшего участия в Конкурсе, не неся за это никакой ответственности перед Организатором регионального конкурсного отбора.</w:t>
      </w:r>
      <w:r>
        <w:rPr>
          <w:sz w:val="28"/>
          <w:szCs w:val="28"/>
        </w:rPr>
      </w:r>
    </w:p>
    <w:p>
      <w:pPr>
        <w:pStyle w:val="753"/>
        <w:ind w:left="0" w:firstLine="709"/>
        <w:jc w:val="center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V. Награждение</w:t>
      </w:r>
      <w:r>
        <w:rPr>
          <w:b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Победителям регионального конкурсного отбора вручаются дипломы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4.2. П</w:t>
      </w:r>
      <w:r>
        <w:rPr>
          <w:bCs/>
          <w:sz w:val="28"/>
          <w:szCs w:val="28"/>
        </w:rPr>
        <w:t xml:space="preserve">обедители Конкурса </w:t>
      </w:r>
      <w:r>
        <w:rPr>
          <w:sz w:val="28"/>
          <w:szCs w:val="28"/>
        </w:rPr>
        <w:t xml:space="preserve">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участия во втором туре федерального Конкурса.</w:t>
      </w:r>
      <w:r>
        <w:rPr>
          <w:sz w:val="28"/>
          <w:szCs w:val="28"/>
        </w:rPr>
      </w:r>
    </w:p>
    <w:p>
      <w:pPr>
        <w:pStyle w:val="753"/>
        <w:ind w:left="0" w:firstLine="709"/>
        <w:jc w:val="center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Распространение информации</w:t>
      </w:r>
      <w:r>
        <w:rPr>
          <w:b/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5.1. Конкурсные проекты, победившие в региональном конкурсном отборе размещаются на официальном сайте </w:t>
      </w:r>
      <w:r>
        <w:rPr>
          <w:sz w:val="28"/>
          <w:szCs w:val="28"/>
        </w:rPr>
        <w:t xml:space="preserve">Депфина</w:t>
      </w:r>
      <w:r>
        <w:rPr>
          <w:sz w:val="28"/>
          <w:szCs w:val="28"/>
        </w:rPr>
        <w:t xml:space="preserve"> Югры </w:t>
      </w:r>
      <w:hyperlink r:id="rId17" w:tooltip="http://www.depfin.admhmao.ru/" w:history="1">
        <w:r>
          <w:rPr>
            <w:color w:val="0000ff"/>
            <w:sz w:val="28"/>
            <w:szCs w:val="28"/>
            <w:u w:val="single"/>
          </w:rPr>
          <w:t xml:space="preserve">www.depfin.admhmao.ru</w:t>
        </w:r>
      </w:hyperlink>
      <w:r>
        <w:rPr>
          <w:sz w:val="28"/>
          <w:szCs w:val="28"/>
        </w:rPr>
        <w:t xml:space="preserve"> в разделе «Конкурс проектов «Бюджет для граждан» и в срок до 10 июля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направляются Организатором регионального конкурсного отбора в федеральное государственное </w:t>
      </w:r>
      <w:r>
        <w:rPr>
          <w:sz w:val="28"/>
          <w:szCs w:val="28"/>
        </w:rPr>
        <w:t xml:space="preserve">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федерального Конкурса.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5.2. Победители и участники регионального конкурсного отбора вправе размещать информацию об участии и победе в рекламно-информационных материалах и на официальных сайтах.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5.3. Организатор регионального конкурсного отбора вправе осуществлять выпус</w:t>
      </w:r>
      <w:r>
        <w:rPr>
          <w:sz w:val="28"/>
          <w:szCs w:val="28"/>
        </w:rPr>
        <w:t xml:space="preserve">к информационно-рекламных изданий и публикацию материалов в СМИ о содержании, участниках и победителях регионального конкурсного отбора, в том числе в целях распространения данных материалов на конференциях, семинарах, круглых столах и других мероприятиях.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5.4. По результатам Конкурса федеральным государственным образовательным бюджетным учреждением высшего образова</w:t>
      </w:r>
      <w:r>
        <w:rPr>
          <w:sz w:val="28"/>
          <w:szCs w:val="28"/>
        </w:rPr>
        <w:t xml:space="preserve">ния «Финансовый университет при Правительстве Российской Федерации» будет создана электронная библиотека (далее — Библиотека), в которую будут включены конкурсные проекты победителей, а также могут быть включены конкурсные проекты иных участников Конкурса.</w:t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доставление заявок на участие в Конкурсе является согласием участника Конкурса на публикацию его конкурсного проекта в Библиотеке, на воспроизведение конкурсного проекта в любой форме, на его распространение, публичный показ, на размещение в сети Интернет.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5.5. Предоставление участником Конкурса права на публикацию его конкурсного проекта в Библиотеке, 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5.6. К</w:t>
      </w:r>
      <w:r>
        <w:rPr>
          <w:sz w:val="28"/>
          <w:szCs w:val="28"/>
        </w:rPr>
        <w:t xml:space="preserve">онкурсные проекты не должны нарушать право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</w:t>
      </w:r>
      <w:r>
        <w:rPr>
          <w:sz w:val="28"/>
          <w:szCs w:val="28"/>
        </w:rPr>
        <w:t xml:space="preserve">принадлежат предоставившему их участнику Конкурса.</w:t>
      </w:r>
      <w:r>
        <w:rPr>
          <w:sz w:val="28"/>
          <w:szCs w:val="28"/>
        </w:rPr>
        <w:t xml:space="preserve"> В случае,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конкурсные проекты участникам Конкурса не возвращаются.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1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проектов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представлению бюджета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граждан</w:t>
      </w:r>
      <w:r>
        <w:rPr>
          <w:bCs/>
          <w:sz w:val="28"/>
          <w:szCs w:val="28"/>
        </w:rPr>
        <w:t xml:space="preserve"> в 2025 году</w:t>
      </w:r>
      <w:r>
        <w:rPr>
          <w:bCs/>
          <w:sz w:val="28"/>
          <w:szCs w:val="28"/>
        </w:rPr>
      </w:r>
    </w:p>
    <w:p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конкурсных заданий по номинациям</w:t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физических лиц</w:t>
      </w:r>
      <w:r>
        <w:rPr>
          <w:b/>
          <w:sz w:val="28"/>
          <w:szCs w:val="28"/>
        </w:rPr>
        <w:t xml:space="preserve"> младше 15 лет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Номинация «Бюджет для граждан в современных формах искусства»</w:t>
      </w:r>
      <w:r>
        <w:rPr>
          <w:sz w:val="28"/>
          <w:szCs w:val="28"/>
        </w:rPr>
        <w:t xml:space="preserve"> 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современная форма графической интерпретации бюджетов публично-правовых образований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содержание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оригинальность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качество оформления и визуализации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В номинации «Лучший видеоролик о бюджете»</w:t>
      </w:r>
      <w:r>
        <w:rPr>
          <w:sz w:val="28"/>
          <w:szCs w:val="28"/>
        </w:rPr>
        <w:t xml:space="preserve"> участникам предлагается представить вопросы формирования и исполнения бюджетов бюджетной системы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формате небольших видеороликов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художественных метафор, использование графических цифровых технологий,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нестандартная сценарная, режиссерская и операторская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</w:t>
      </w:r>
      <w:r>
        <w:rPr>
          <w:sz w:val="28"/>
          <w:szCs w:val="28"/>
        </w:rPr>
        <w:t xml:space="preserve">имиджевых</w:t>
      </w:r>
      <w:r>
        <w:rPr>
          <w:sz w:val="28"/>
          <w:szCs w:val="28"/>
        </w:rPr>
        <w:t xml:space="preserve">, презентационных, обучающих, социальн</w:t>
      </w:r>
      <w:r>
        <w:rPr>
          <w:sz w:val="28"/>
          <w:szCs w:val="28"/>
        </w:rPr>
        <w:t xml:space="preserve">ых видеороликов, а также Видео-</w:t>
      </w:r>
      <w:r>
        <w:rPr>
          <w:sz w:val="28"/>
          <w:szCs w:val="28"/>
        </w:rPr>
        <w:t xml:space="preserve">Арт и клипов.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номинации является </w:t>
      </w:r>
      <w:r>
        <w:rPr>
          <w:sz w:val="28"/>
          <w:szCs w:val="28"/>
          <w:u w:val="single"/>
        </w:rPr>
        <w:t xml:space="preserve">визуальная форма представления информации о бюджете публично-правового образования.</w:t>
      </w:r>
      <w:r>
        <w:rPr>
          <w:sz w:val="28"/>
          <w:szCs w:val="28"/>
        </w:rPr>
        <w:t xml:space="preserve"> Соответствие основному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художественный уровень проекта, возможность его воспроизведения на различных устройствах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Номинация «Информационные карточки по бюджету для социальных сетей и мессенджеров»</w:t>
      </w:r>
      <w:r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</w:t>
      </w:r>
      <w:r>
        <w:rPr>
          <w:sz w:val="28"/>
          <w:szCs w:val="28"/>
        </w:rPr>
        <w:t xml:space="preserve">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простота визуализации информации о бюджете публично-правового образования.</w:t>
      </w:r>
      <w:r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содержание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>
        <w:rPr>
          <w:sz w:val="28"/>
          <w:szCs w:val="28"/>
        </w:rPr>
        <w:t xml:space="preserve">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 xml:space="preserve">настольной игры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красочность и привлекательность</w:t>
      </w:r>
      <w:r>
        <w:rPr>
          <w:sz w:val="28"/>
          <w:szCs w:val="28"/>
        </w:rPr>
        <w:t xml:space="preserve">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легкость правил игры, их восприятия</w:t>
      </w:r>
      <w:r>
        <w:rPr>
          <w:sz w:val="28"/>
          <w:szCs w:val="28"/>
        </w:rPr>
        <w:t xml:space="preserve">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широта охвата игрой бюджетных терминов</w:t>
      </w:r>
      <w:r>
        <w:rPr>
          <w:sz w:val="28"/>
          <w:szCs w:val="28"/>
        </w:rPr>
        <w:t xml:space="preserve">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>
        <w:rPr>
          <w:sz w:val="28"/>
          <w:szCs w:val="28"/>
        </w:rPr>
        <w:t xml:space="preserve">предполагает представление</w:t>
      </w:r>
      <w:r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</w:t>
      </w:r>
      <w:r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r>
        <w:rPr>
          <w:sz w:val="28"/>
          <w:szCs w:val="28"/>
        </w:rPr>
        <w:t xml:space="preserve">нейросетей</w:t>
      </w:r>
      <w:r>
        <w:rPr>
          <w:sz w:val="28"/>
          <w:szCs w:val="28"/>
        </w:rPr>
        <w:t xml:space="preserve">, чато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u w:val="single"/>
        </w:rPr>
        <w:t xml:space="preserve"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>
        <w:rPr>
          <w:sz w:val="28"/>
          <w:szCs w:val="28"/>
          <w:u w:val="single"/>
        </w:rPr>
        <w:t xml:space="preserve">бюджет</w:t>
      </w:r>
      <w:r>
        <w:rPr>
          <w:sz w:val="28"/>
          <w:szCs w:val="28"/>
          <w:u w:val="single"/>
        </w:rPr>
        <w:t xml:space="preserve">е</w:t>
      </w:r>
      <w:r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 xml:space="preserve">ого</w:t>
      </w:r>
      <w:r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 xml:space="preserve">я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физических лиц </w:t>
      </w:r>
      <w:r>
        <w:rPr>
          <w:b/>
          <w:sz w:val="28"/>
          <w:szCs w:val="28"/>
        </w:rPr>
        <w:t xml:space="preserve">старше 15 лет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Номинация «Бюджет для граждан в современных формах искусства»</w:t>
      </w:r>
      <w:r>
        <w:rPr>
          <w:sz w:val="28"/>
          <w:szCs w:val="28"/>
        </w:rPr>
        <w:t xml:space="preserve"> предполагает подготовку проекта, в современной графической форме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развивающего представление о бюджете, бюджетной терминологии, бюджетной </w:t>
      </w:r>
      <w:r>
        <w:rPr>
          <w:sz w:val="28"/>
          <w:szCs w:val="28"/>
        </w:rPr>
        <w:t xml:space="preserve">системе и ее принципах, особенностях бюджетного процесса. 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современная форма графической интерпретации бюджетов публично-правовых образований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использование современных подходов графического дизайна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оригинальность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качество оформления и визуализации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В номинации «Лучший видеоролик о бюджете»</w:t>
      </w:r>
      <w:r>
        <w:rPr>
          <w:sz w:val="28"/>
          <w:szCs w:val="28"/>
        </w:rPr>
        <w:t xml:space="preserve"> участникам предлагается представить вопросы формирования и исполнения бюджетов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формате небольших видеороликов 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художественных метафор, использование графических цифровых технологий, нестандартная сценарная, режиссерская и операторская работа.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</w:t>
      </w:r>
      <w:r>
        <w:rPr>
          <w:sz w:val="28"/>
          <w:szCs w:val="28"/>
        </w:rPr>
        <w:t xml:space="preserve">имиджевых</w:t>
      </w:r>
      <w:r>
        <w:rPr>
          <w:sz w:val="28"/>
          <w:szCs w:val="28"/>
        </w:rPr>
        <w:t xml:space="preserve">, презентационных, обучающих, социальных видеороликов, а также Видео- Арт и клипов.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визуальная форма представления информации о бюджете публично-правового образования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художественный ур</w:t>
      </w:r>
      <w:r>
        <w:rPr>
          <w:sz w:val="28"/>
          <w:szCs w:val="28"/>
        </w:rPr>
        <w:t xml:space="preserve">овень проекта, возможность его </w:t>
      </w:r>
      <w:r>
        <w:rPr>
          <w:sz w:val="28"/>
          <w:szCs w:val="28"/>
        </w:rPr>
        <w:t xml:space="preserve">воспроизведения на различных устройствах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Номинация «Информационные карточки по бюджету для социальных сетей и мессенджеров»</w:t>
      </w:r>
      <w:r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</w:t>
      </w:r>
      <w:r>
        <w:rPr>
          <w:sz w:val="28"/>
          <w:szCs w:val="28"/>
        </w:rPr>
        <w:t xml:space="preserve">особенностях бюджетного процесса, лаконично сгруппированных по смыслу для более легкого визуального восприятия информации в социальных сетях и мессенджерах.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</w:t>
      </w:r>
      <w:r>
        <w:rPr>
          <w:sz w:val="28"/>
          <w:szCs w:val="28"/>
        </w:rPr>
        <w:t xml:space="preserve">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простота визуализации информации о бюджете публично-правового образования.</w:t>
      </w:r>
      <w:r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соответствие современным требованиям к информации для распространения через социальные сети и мессенджеры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В номинации «Лучшее предложение по изменению бюджетного законодательства»</w:t>
      </w:r>
      <w:r>
        <w:rPr>
          <w:sz w:val="28"/>
          <w:szCs w:val="28"/>
        </w:rPr>
        <w:t xml:space="preserve"> участникам предлагается представить свод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редложений по внесению изменений в конкретные статьи действующего </w:t>
      </w:r>
      <w:r>
        <w:rPr>
          <w:sz w:val="28"/>
          <w:szCs w:val="28"/>
        </w:rPr>
        <w:t xml:space="preserve">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</w:t>
      </w:r>
      <w:r>
        <w:rPr>
          <w:sz w:val="28"/>
          <w:szCs w:val="28"/>
        </w:rPr>
        <w:t xml:space="preserve">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системность предлагаемых изменений, их взаимосвязь в различных законодательных актах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корректность применяемой терминологии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реальность и целесообразность реализации предложений по расширению участия граждан в бюджетном процессе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>
        <w:rPr>
          <w:sz w:val="28"/>
          <w:szCs w:val="28"/>
        </w:rPr>
        <w:t xml:space="preserve">Соответствие основному критерию </w:t>
      </w:r>
      <w:r>
        <w:rPr>
          <w:sz w:val="28"/>
          <w:szCs w:val="28"/>
        </w:rPr>
        <w:t xml:space="preserve">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 xml:space="preserve">настольной игры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красочность и привлекательность</w:t>
      </w:r>
      <w:r>
        <w:rPr>
          <w:sz w:val="28"/>
          <w:szCs w:val="28"/>
        </w:rPr>
        <w:t xml:space="preserve">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легкость правил игры, их восприятия</w:t>
      </w:r>
      <w:r>
        <w:rPr>
          <w:sz w:val="28"/>
          <w:szCs w:val="28"/>
        </w:rPr>
        <w:t xml:space="preserve">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широта охвата игрой бюджетных терминов</w:t>
      </w:r>
      <w:r>
        <w:rPr>
          <w:sz w:val="28"/>
          <w:szCs w:val="28"/>
        </w:rPr>
        <w:t xml:space="preserve">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>
        <w:rPr>
          <w:sz w:val="28"/>
          <w:szCs w:val="28"/>
        </w:rPr>
        <w:t xml:space="preserve">предполагает представление</w:t>
      </w:r>
      <w:r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</w:t>
      </w:r>
      <w:r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r>
        <w:rPr>
          <w:sz w:val="28"/>
          <w:szCs w:val="28"/>
        </w:rPr>
        <w:t xml:space="preserve">нейросетей</w:t>
      </w:r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 xml:space="preserve"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u w:val="single"/>
        </w:rPr>
        <w:t xml:space="preserve"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>
        <w:rPr>
          <w:sz w:val="28"/>
          <w:szCs w:val="28"/>
          <w:u w:val="single"/>
        </w:rPr>
        <w:t xml:space="preserve">бюджет</w:t>
      </w:r>
      <w:r>
        <w:rPr>
          <w:sz w:val="28"/>
          <w:szCs w:val="28"/>
          <w:u w:val="single"/>
        </w:rPr>
        <w:t xml:space="preserve">е</w:t>
      </w:r>
      <w:r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 xml:space="preserve">ого</w:t>
      </w:r>
      <w:r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 xml:space="preserve">я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shd w:val="clear" w:color="auto" w:fill="ffffff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юридических лиц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В номинации «Современные формы представления проекта регионального бюджета для граждан»</w:t>
      </w:r>
      <w:r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«Бюджет для граждан» следует представить в электронном виде с использованием элементов наглядности (</w:t>
      </w:r>
      <w:r>
        <w:rPr>
          <w:sz w:val="28"/>
          <w:szCs w:val="28"/>
        </w:rPr>
        <w:t xml:space="preserve">инфографика</w:t>
      </w:r>
      <w:r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>
        <w:rPr>
          <w:sz w:val="28"/>
          <w:szCs w:val="28"/>
          <w:u w:val="single"/>
        </w:rPr>
        <w:t xml:space="preserve">информационное соответствие закону (решению) с учетом внесенных изменений о бюджете субъекта Российской Федерации, его наглядность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</w:t>
      </w:r>
      <w:r>
        <w:rPr>
          <w:sz w:val="28"/>
          <w:szCs w:val="28"/>
        </w:rPr>
        <w:t xml:space="preserve">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оригинальный подход к визуализации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В номинации «Современные формы представления проекта местного бюджета для граждан»</w:t>
      </w:r>
      <w:r>
        <w:rPr>
          <w:sz w:val="28"/>
          <w:szCs w:val="28"/>
        </w:rPr>
        <w:t xml:space="preserve"> участникам предлагается п</w:t>
      </w:r>
      <w:r>
        <w:rPr>
          <w:sz w:val="28"/>
          <w:szCs w:val="28"/>
        </w:rPr>
        <w:t xml:space="preserve">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«Бюджет для граждан» следует представить в электронном виде с использованием элементов наглядности (</w:t>
      </w:r>
      <w:r>
        <w:rPr>
          <w:sz w:val="28"/>
          <w:szCs w:val="28"/>
        </w:rPr>
        <w:t xml:space="preserve">инфографика</w:t>
      </w:r>
      <w:r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является; </w:t>
      </w:r>
      <w:r>
        <w:rPr>
          <w:sz w:val="28"/>
          <w:szCs w:val="28"/>
          <w:u w:val="single"/>
        </w:rPr>
        <w:t xml:space="preserve">информационное соответствие проекту закона (решения) о бюджете муниципального образования, его наглядность. </w:t>
      </w:r>
      <w:r>
        <w:rPr>
          <w:sz w:val="28"/>
          <w:szCs w:val="28"/>
          <w:u w:val="single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Соответствие основному критерию оценивается максимально в 10 баллов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</w:t>
      </w:r>
      <w:r>
        <w:rPr>
          <w:sz w:val="28"/>
          <w:szCs w:val="28"/>
        </w:rPr>
        <w:t xml:space="preserve">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оригинальный подход к визуализации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В номинации «Лучшее обучающее мероприятие по бюджетной тематике»</w:t>
      </w:r>
      <w:r>
        <w:rPr>
          <w:sz w:val="28"/>
          <w:szCs w:val="28"/>
        </w:rPr>
        <w:t xml:space="preserve"> участникам предлагается представить информацию о проведенных</w:t>
      </w:r>
      <w:r>
        <w:rPr>
          <w:sz w:val="28"/>
          <w:szCs w:val="28"/>
        </w:rPr>
        <w:t xml:space="preserve">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о важном».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</w:t>
      </w:r>
      <w:r>
        <w:rPr>
          <w:sz w:val="28"/>
          <w:szCs w:val="28"/>
        </w:rPr>
        <w:t xml:space="preserve">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наличие электронного учебного комплекса по тематике бюджетов публично-правовых образований.</w:t>
      </w:r>
      <w:r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полнота и качество наполнения электронного учебного комплекса учебно-методическими материалами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наличие обратной связи от обучающихся в рамках электронного учебного комплекса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качество визуализации учебно-методических материалов (максимум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Номинация «Лучшая информационная панель (</w:t>
      </w:r>
      <w:r>
        <w:rPr>
          <w:b/>
          <w:sz w:val="28"/>
          <w:szCs w:val="28"/>
        </w:rPr>
        <w:t xml:space="preserve">дашборд</w:t>
      </w:r>
      <w:r>
        <w:rPr>
          <w:b/>
          <w:sz w:val="28"/>
          <w:szCs w:val="28"/>
        </w:rPr>
        <w:t xml:space="preserve">) по бюджету для граждан»</w:t>
      </w:r>
      <w:r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r>
        <w:rPr>
          <w:sz w:val="28"/>
          <w:szCs w:val="28"/>
        </w:rPr>
        <w:t xml:space="preserve">дашбордов</w:t>
      </w:r>
      <w:r>
        <w:rPr>
          <w:sz w:val="28"/>
          <w:szCs w:val="28"/>
        </w:rPr>
        <w:t xml:space="preserve"> и обеспечивать как общий обзор бюджетного процесса и бюджетных показателей, так и</w:t>
      </w:r>
      <w:r>
        <w:rPr>
          <w:sz w:val="28"/>
          <w:szCs w:val="28"/>
        </w:rPr>
        <w:t xml:space="preserve">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  <w:r>
        <w:rPr>
          <w:sz w:val="28"/>
          <w:szCs w:val="28"/>
        </w:rPr>
        <w:t xml:space="preserve"> Соответствие основному критерию оценивается исходя максимум из 10 баллов.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информативность, наглядность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решаемых задач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Номинация «Бюджет для граждан от СМИ»</w:t>
      </w:r>
      <w:r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представителями средств массовой информации. Проект предполагает простое представление данных о бюджете, бюджетной системе и ее принципах, особенностях бюджетного процесса.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</w:t>
      </w:r>
      <w:r>
        <w:rPr>
          <w:sz w:val="28"/>
          <w:szCs w:val="28"/>
        </w:rPr>
        <w:t xml:space="preserve">ый проект может быть оформлен в виде электронных карточек с текстом и иллюстрациями по теме бюджета для граждан, коротких видеороликов (до 3 мин) или кратких статей, которые могут содержать как общий обзор бюджетного процесса и бюджетных показателей, так и</w:t>
      </w:r>
      <w:r>
        <w:rPr>
          <w:sz w:val="28"/>
          <w:szCs w:val="28"/>
        </w:rPr>
        <w:t xml:space="preserve">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  <w:u w:val="single"/>
        </w:rPr>
        <w:t xml:space="preserve">простота представления информации сотрудниками СМИ.</w:t>
      </w:r>
      <w:r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содержание (максимум 5 баллов).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оригинальность подачи информации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>
        <w:rPr>
          <w:sz w:val="28"/>
          <w:szCs w:val="28"/>
        </w:rPr>
        <w:t xml:space="preserve">предполагает представление</w:t>
      </w:r>
      <w:r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Конкурсный п</w:t>
      </w:r>
      <w:r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r>
        <w:rPr>
          <w:sz w:val="28"/>
          <w:szCs w:val="28"/>
        </w:rPr>
        <w:t xml:space="preserve">нейросетей</w:t>
      </w:r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 xml:space="preserve"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u w:val="single"/>
        </w:rPr>
        <w:t xml:space="preserve"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>
        <w:rPr>
          <w:sz w:val="28"/>
          <w:szCs w:val="28"/>
          <w:u w:val="single"/>
        </w:rPr>
        <w:t xml:space="preserve">бюджет</w:t>
      </w:r>
      <w:r>
        <w:rPr>
          <w:sz w:val="28"/>
          <w:szCs w:val="28"/>
          <w:u w:val="single"/>
        </w:rPr>
        <w:t xml:space="preserve">е</w:t>
      </w:r>
      <w:r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 xml:space="preserve">ого</w:t>
      </w:r>
      <w:r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 xml:space="preserve">я</w:t>
      </w:r>
      <w:r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интерактивность, удобный интерфейс (максимум 5 баллов)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2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</w:t>
      </w:r>
      <w:r>
        <w:rPr>
          <w:iCs/>
          <w:sz w:val="28"/>
          <w:szCs w:val="28"/>
        </w:rPr>
        <w:t xml:space="preserve">этапа</w:t>
      </w:r>
      <w:r>
        <w:rPr>
          <w:iCs/>
          <w:sz w:val="28"/>
          <w:szCs w:val="28"/>
        </w:rPr>
        <w:t xml:space="preserve"> Всероссийского </w:t>
      </w:r>
      <w:r>
        <w:rPr>
          <w:i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представлению бюджета для граждан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>
        <w:rPr>
          <w:iCs/>
          <w:sz w:val="20"/>
        </w:rPr>
        <w:t xml:space="preserve">Всероссийского</w:t>
      </w:r>
      <w:r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  <w:r>
        <w:rPr>
          <w:iCs/>
          <w:sz w:val="20"/>
        </w:rPr>
      </w:r>
    </w:p>
    <w:p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отбора или финансовому органу муниципального образования</w:t>
      </w:r>
      <w:r>
        <w:rPr>
          <w:iCs/>
          <w:sz w:val="20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Заявка </w:t>
      </w:r>
      <w:r>
        <w:rPr>
          <w:sz w:val="28"/>
          <w:szCs w:val="28"/>
        </w:rPr>
        <w:t xml:space="preserve">претендентов на участие в региональном этапе</w:t>
      </w:r>
      <w:r>
        <w:rPr>
          <w:sz w:val="28"/>
          <w:szCs w:val="28"/>
        </w:rPr>
      </w:r>
    </w:p>
    <w:p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проектов </w:t>
      </w:r>
      <w:r>
        <w:rPr>
          <w:iCs/>
          <w:sz w:val="28"/>
          <w:szCs w:val="28"/>
        </w:rPr>
        <w:t xml:space="preserve">по представлению</w:t>
      </w:r>
      <w:r>
        <w:rPr>
          <w:iCs/>
          <w:sz w:val="28"/>
          <w:szCs w:val="28"/>
        </w:rPr>
      </w: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бюджета для граждан</w:t>
      </w:r>
      <w:r>
        <w:rPr>
          <w:iCs/>
          <w:sz w:val="28"/>
          <w:szCs w:val="28"/>
        </w:rPr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110"/>
      </w:tblGrid>
      <w:tr>
        <w:tblPrEx/>
        <w:trPr>
          <w:trHeight w:val="7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Ф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амилия 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И.О. участника / наименование организации.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*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70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left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Возврат участников (для конкурсантов – физических лиц)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9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left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Р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еквизиты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организации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(только для юридических лиц)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0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left"/>
              <w:spacing w:after="0" w:line="240" w:lineRule="auto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Ю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ридический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адрес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(только для юридических лиц)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7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left"/>
              <w:spacing w:after="0" w:line="240" w:lineRule="auto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Контактный телефон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юридического лица 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4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both"/>
              <w:spacing w:after="0" w:line="250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Электронная почта*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*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0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 xml:space="preserve">Наименование номинации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(-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ий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)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, в которой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(-ых)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представлен конкурсный проект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66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both"/>
              <w:spacing w:after="0" w:line="250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Наименование конкурсного проекта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74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Краткая аннотация (2-3 предложения)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_________________</w:t>
      </w:r>
      <w:r>
        <w:rPr>
          <w:bCs/>
          <w:sz w:val="28"/>
          <w:szCs w:val="28"/>
        </w:rPr>
      </w:r>
    </w:p>
    <w:p>
      <w:pPr>
        <w:pStyle w:val="763"/>
        <w:ind w:left="120"/>
        <w:spacing w:before="0" w:after="221" w:line="210" w:lineRule="exact"/>
        <w:shd w:val="clear" w:color="auto" w:fill="auto"/>
        <w:tabs>
          <w:tab w:val="left" w:pos="3653" w:leader="none"/>
        </w:tabs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подпись*</w:t>
      </w:r>
      <w:r>
        <w:rPr>
          <w:b w:val="0"/>
          <w:spacing w:val="0"/>
          <w:sz w:val="28"/>
          <w:szCs w:val="28"/>
        </w:rPr>
        <w:tab/>
        <w:t xml:space="preserve">   расшифровка**</w:t>
      </w:r>
      <w:r>
        <w:rPr>
          <w:b w:val="0"/>
          <w:spacing w:val="0"/>
          <w:sz w:val="28"/>
          <w:szCs w:val="28"/>
        </w:rPr>
      </w:r>
    </w:p>
    <w:p>
      <w:pPr>
        <w:pStyle w:val="763"/>
        <w:jc w:val="both"/>
        <w:spacing w:before="0" w:after="0" w:line="269" w:lineRule="exact"/>
        <w:shd w:val="clear" w:color="auto" w:fill="auto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* </w:t>
      </w:r>
      <w:r>
        <w:rPr>
          <w:b w:val="0"/>
          <w:spacing w:val="0"/>
          <w:sz w:val="20"/>
          <w:szCs w:val="20"/>
        </w:rPr>
        <w:t xml:space="preserve">Для физических лиц обязательно указать только фамилию и инициалы! </w:t>
      </w:r>
      <w:r>
        <w:rPr>
          <w:b w:val="0"/>
          <w:spacing w:val="0"/>
          <w:sz w:val="20"/>
          <w:szCs w:val="20"/>
        </w:rPr>
        <w:t xml:space="preserve">Для</w:t>
      </w:r>
      <w:r>
        <w:rPr>
          <w:b w:val="0"/>
          <w:spacing w:val="0"/>
          <w:sz w:val="20"/>
          <w:szCs w:val="20"/>
        </w:rPr>
        <w:t xml:space="preserve"> юридических лиц, е</w:t>
      </w:r>
      <w:r>
        <w:rPr>
          <w:b w:val="0"/>
          <w:sz w:val="20"/>
          <w:szCs w:val="20"/>
        </w:rPr>
        <w:t xml:space="preserve">сли конкурсный проект разработан группой авторов, в заявке на участие в конкурсе указываются сведения(фамилия и инициалы) обо всех авторах.</w:t>
      </w:r>
      <w:r>
        <w:rPr>
          <w:b w:val="0"/>
          <w:spacing w:val="0"/>
          <w:sz w:val="20"/>
          <w:szCs w:val="20"/>
        </w:rPr>
      </w:r>
    </w:p>
    <w:p>
      <w:pPr>
        <w:pStyle w:val="763"/>
        <w:jc w:val="both"/>
        <w:spacing w:before="0" w:after="0" w:line="269" w:lineRule="exact"/>
        <w:shd w:val="clear" w:color="auto" w:fill="auto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** </w:t>
      </w:r>
      <w:r>
        <w:rPr>
          <w:b w:val="0"/>
          <w:spacing w:val="0"/>
          <w:sz w:val="20"/>
          <w:szCs w:val="20"/>
        </w:rPr>
        <w:t xml:space="preserve">Необходимо указывать корректный адрес электронной почты. Он необходим для дальнейшей связи с претендентом!</w:t>
      </w:r>
      <w:r>
        <w:rPr>
          <w:b w:val="0"/>
          <w:spacing w:val="0"/>
          <w:sz w:val="20"/>
          <w:szCs w:val="20"/>
        </w:rPr>
      </w:r>
    </w:p>
    <w:p>
      <w:pPr>
        <w:jc w:val="both"/>
      </w:pPr>
      <w:r>
        <w:t xml:space="preserve">*** </w:t>
      </w:r>
      <w:r>
        <w:rPr>
          <w:sz w:val="20"/>
        </w:rPr>
        <w:t xml:space="preserve">Для организаций - подпись руководителя с указанием должности, заверенная печатью</w:t>
      </w:r>
      <w:r>
        <w:rPr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z w:val="20"/>
        </w:rPr>
        <w:t xml:space="preserve">.</w:t>
      </w:r>
      <w:r/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3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</w:t>
      </w:r>
      <w:r>
        <w:rPr>
          <w:bCs/>
          <w:sz w:val="28"/>
          <w:szCs w:val="28"/>
        </w:rPr>
        <w:t xml:space="preserve">этапа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_____________________________________________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>
        <w:rPr>
          <w:iCs/>
          <w:sz w:val="20"/>
        </w:rPr>
        <w:t xml:space="preserve">Всероссийского</w:t>
      </w:r>
      <w:r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  <w:r>
        <w:rPr>
          <w:iCs/>
          <w:sz w:val="20"/>
        </w:rPr>
      </w:r>
    </w:p>
    <w:p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о</w:t>
      </w:r>
      <w:r>
        <w:rPr>
          <w:iCs/>
          <w:sz w:val="20"/>
        </w:rPr>
        <w:t xml:space="preserve">тбора</w:t>
      </w:r>
      <w:r>
        <w:rPr>
          <w:iCs/>
          <w:sz w:val="20"/>
        </w:rPr>
        <w:t xml:space="preserve"> </w:t>
      </w:r>
      <w:r>
        <w:rPr>
          <w:iCs/>
          <w:sz w:val="20"/>
        </w:rPr>
        <w:t xml:space="preserve">или финансовому органу муниципального образования</w:t>
      </w:r>
      <w:r>
        <w:rPr>
          <w:iCs/>
          <w:sz w:val="20"/>
        </w:rPr>
      </w:r>
    </w:p>
    <w:p>
      <w:pPr>
        <w:ind w:firstLine="709"/>
        <w:jc w:val="center"/>
        <w:rPr>
          <w:iCs/>
          <w:sz w:val="20"/>
        </w:rPr>
      </w:pPr>
      <w:r>
        <w:rPr>
          <w:iCs/>
          <w:sz w:val="20"/>
        </w:rPr>
      </w:r>
      <w:r>
        <w:rPr>
          <w:iCs/>
          <w:sz w:val="20"/>
        </w:rPr>
      </w:r>
    </w:p>
    <w:p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Заявка на участие в</w:t>
      </w:r>
      <w:r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Всероссийском</w:t>
      </w:r>
      <w:r>
        <w:rPr>
          <w:iCs/>
          <w:sz w:val="28"/>
          <w:szCs w:val="28"/>
        </w:rPr>
        <w:t xml:space="preserve"> конкурсе проектов</w:t>
      </w:r>
      <w:r>
        <w:rPr>
          <w:iCs/>
          <w:sz w:val="28"/>
          <w:szCs w:val="28"/>
        </w:rPr>
      </w:r>
    </w:p>
    <w:p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 представлению бюджета для граждан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125"/>
      </w:tblGrid>
      <w:tr>
        <w:tblPrEx/>
        <w:trPr>
          <w:trHeight w:val="106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Ф.И.О. участника* / наименование организации.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06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Возврат участников (для конкурсантов – физических лиц)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9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Паспортные данные* / р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еквизиты</w:t>
            </w: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 организации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0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 w:line="322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Адрес регистрации* / юридический адрес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51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 w:line="250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Контактный телефон*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4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 w:line="250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Электронная почта*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26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Наименование номинации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 (-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ий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)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, в которой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 (-ых)</w:t>
            </w:r>
            <w:r>
              <w:rPr>
                <w:b/>
                <w:color w:val="auto"/>
                <w:spacing w:val="0"/>
                <w:sz w:val="28"/>
                <w:szCs w:val="28"/>
              </w:rPr>
              <w:t xml:space="preserve"> представлен конкурсный проект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66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 w:line="250" w:lineRule="exact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Наименование конкурсного проекта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13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Style w:val="769"/>
              <w:jc w:val="both"/>
              <w:spacing w:after="0"/>
              <w:shd w:val="clear" w:color="auto" w:fill="auto"/>
              <w:rPr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bCs/>
                <w:color w:val="auto"/>
                <w:spacing w:val="0"/>
                <w:sz w:val="28"/>
                <w:szCs w:val="28"/>
              </w:rPr>
              <w:t xml:space="preserve">Краткая аннотация (2-3 предложения)</w:t>
            </w:r>
            <w:r>
              <w:rPr>
                <w:bCs/>
                <w:color w:val="auto"/>
                <w:spacing w:val="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5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 xml:space="preserve">  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_________________</w:t>
      </w:r>
      <w:r>
        <w:rPr>
          <w:bCs/>
          <w:sz w:val="28"/>
          <w:szCs w:val="28"/>
        </w:rPr>
      </w:r>
    </w:p>
    <w:p>
      <w:pPr>
        <w:pStyle w:val="763"/>
        <w:ind w:left="120"/>
        <w:spacing w:before="0" w:after="221" w:line="210" w:lineRule="exact"/>
        <w:shd w:val="clear" w:color="auto" w:fill="auto"/>
        <w:tabs>
          <w:tab w:val="left" w:pos="3653" w:leader="none"/>
        </w:tabs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подпись*</w:t>
      </w:r>
      <w:r>
        <w:rPr>
          <w:b w:val="0"/>
          <w:spacing w:val="0"/>
          <w:sz w:val="28"/>
          <w:szCs w:val="28"/>
        </w:rPr>
        <w:tab/>
        <w:t xml:space="preserve">   расшифровка**</w:t>
      </w:r>
      <w:r>
        <w:rPr>
          <w:b w:val="0"/>
          <w:spacing w:val="0"/>
          <w:sz w:val="28"/>
          <w:szCs w:val="28"/>
        </w:rPr>
      </w:r>
    </w:p>
    <w:p>
      <w:pPr>
        <w:pStyle w:val="763"/>
        <w:jc w:val="both"/>
        <w:spacing w:before="0" w:after="0" w:line="269" w:lineRule="exact"/>
        <w:shd w:val="clear" w:color="auto" w:fill="auto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* Для группы авторов обязательно представление сведений по каждому</w:t>
      </w:r>
      <w:r>
        <w:rPr>
          <w:b w:val="0"/>
          <w:spacing w:val="0"/>
          <w:sz w:val="20"/>
          <w:szCs w:val="20"/>
        </w:rPr>
      </w:r>
    </w:p>
    <w:p>
      <w:pPr>
        <w:pStyle w:val="763"/>
        <w:jc w:val="both"/>
        <w:spacing w:before="0" w:after="0" w:line="269" w:lineRule="exact"/>
        <w:shd w:val="clear" w:color="auto" w:fill="auto"/>
        <w:rPr>
          <w:iCs/>
          <w:sz w:val="28"/>
          <w:szCs w:val="28"/>
        </w:rPr>
      </w:pPr>
      <w:r>
        <w:rPr>
          <w:b w:val="0"/>
          <w:spacing w:val="0"/>
          <w:sz w:val="20"/>
          <w:szCs w:val="20"/>
        </w:rPr>
        <w:t xml:space="preserve">** Для организаций - подпись руководителя с указанием должности, заверенная печатью</w:t>
      </w:r>
      <w:r>
        <w:rPr>
          <w:b w:val="0"/>
          <w:spacing w:val="0"/>
          <w:sz w:val="20"/>
          <w:szCs w:val="20"/>
        </w:rPr>
        <w:t xml:space="preserve"> </w:t>
      </w:r>
      <w:r>
        <w:rPr>
          <w:b w:val="0"/>
          <w:spacing w:val="0"/>
          <w:sz w:val="20"/>
          <w:szCs w:val="20"/>
        </w:rPr>
        <w:t xml:space="preserve">организации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4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проектов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Я,_____________________________________________________________,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___________________________________________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паспорт: </w:t>
      </w:r>
      <w:r>
        <w:rPr>
          <w:sz w:val="26"/>
          <w:szCs w:val="26"/>
        </w:rPr>
        <w:t xml:space="preserve">серия__________номер</w:t>
      </w:r>
      <w:r>
        <w:rPr>
          <w:sz w:val="26"/>
          <w:szCs w:val="26"/>
        </w:rPr>
        <w:t xml:space="preserve">__________,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выдан_________________________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_________________«___»_______ г.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8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</w:t>
      </w:r>
      <w:r>
        <w:rPr>
          <w:color w:val="auto"/>
          <w:sz w:val="26"/>
          <w:szCs w:val="26"/>
        </w:rPr>
        <w:t xml:space="preserve">», являясь законным представителем субъекта персональных данных</w:t>
      </w:r>
      <w:r>
        <w:rPr>
          <w:color w:val="auto"/>
          <w:sz w:val="26"/>
          <w:szCs w:val="26"/>
        </w:rPr>
        <w:t xml:space="preserve">:</w:t>
      </w:r>
      <w:r>
        <w:rPr>
          <w:color w:val="auto"/>
          <w:sz w:val="26"/>
          <w:szCs w:val="26"/>
        </w:rPr>
        <w:t xml:space="preserve">________________________________________</w:t>
      </w:r>
      <w:r>
        <w:rPr>
          <w:color w:val="auto"/>
          <w:sz w:val="26"/>
          <w:szCs w:val="26"/>
        </w:rPr>
        <w:t xml:space="preserve">_</w:t>
      </w:r>
      <w:r>
        <w:rPr>
          <w:color w:val="auto"/>
          <w:sz w:val="26"/>
          <w:szCs w:val="26"/>
        </w:rPr>
        <w:t xml:space="preserve">_</w:t>
      </w:r>
      <w:r>
        <w:rPr>
          <w:color w:val="auto"/>
          <w:sz w:val="26"/>
          <w:szCs w:val="26"/>
        </w:rPr>
      </w:r>
    </w:p>
    <w:p>
      <w:pPr>
        <w:pStyle w:val="772"/>
        <w:ind w:left="4536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(ФИО)</w:t>
      </w:r>
      <w:r>
        <w:rPr>
          <w:color w:val="auto"/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Проживающего (–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_________________________________________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свидетельство о рождении: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серия_______номер</w:t>
      </w:r>
      <w:r>
        <w:rPr>
          <w:sz w:val="26"/>
          <w:szCs w:val="26"/>
        </w:rPr>
        <w:t xml:space="preserve">_______,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________________________________________________«___»__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_____ ____ г.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>
        <w:rPr>
          <w:sz w:val="26"/>
          <w:szCs w:val="26"/>
        </w:rPr>
        <w:t xml:space="preserve">В целях приема и учета «з</w:t>
      </w:r>
      <w:r>
        <w:rPr>
          <w:sz w:val="26"/>
          <w:szCs w:val="26"/>
        </w:rPr>
        <w:t xml:space="preserve">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>
        <w:rPr>
          <w:i/>
          <w:iCs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iCs/>
          <w:sz w:val="26"/>
          <w:szCs w:val="26"/>
        </w:rPr>
        <w:t xml:space="preserve">Подтверждаю согласие на</w:t>
      </w:r>
      <w:r>
        <w:rPr>
          <w:sz w:val="26"/>
          <w:szCs w:val="26"/>
        </w:rPr>
        <w:t xml:space="preserve"> передачу персональных данных по средствам </w:t>
      </w:r>
      <w:r>
        <w:rPr>
          <w:sz w:val="26"/>
          <w:szCs w:val="26"/>
        </w:rPr>
        <w:t xml:space="preserve">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</w:t>
      </w:r>
      <w:r>
        <w:rPr>
          <w:sz w:val="26"/>
          <w:szCs w:val="26"/>
        </w:rPr>
        <w:t xml:space="preserve">унверситет</w:t>
      </w:r>
      <w:r>
        <w:rPr>
          <w:sz w:val="26"/>
          <w:szCs w:val="26"/>
        </w:rPr>
        <w:t xml:space="preserve"> при Правительстве Российской Федерации».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Обработка персональных данных может осуществляться как с использованием средств автоматизации так и без использования таких средств.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</w:t>
      </w:r>
      <w:r>
        <w:rPr>
          <w:color w:val="auto"/>
          <w:sz w:val="26"/>
          <w:szCs w:val="26"/>
          <w:lang w:val="en-US"/>
        </w:rPr>
        <w:t xml:space="preserve">www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depfin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admhmao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ru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                      /____________________/</w:t>
      </w:r>
      <w:r>
        <w:rPr>
          <w:sz w:val="26"/>
          <w:szCs w:val="26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 xml:space="preserve"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- Югры</w:t>
      </w:r>
      <w:r>
        <w:rPr>
          <w:sz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5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b/>
          <w:b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Я,_____________________________________________________________,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 ____________________________________________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серия___________номер__________,выдан________________________________________________________________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___«___»__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 ____ г.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9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</w:t>
      </w:r>
      <w:r>
        <w:rPr>
          <w:color w:val="auto"/>
          <w:sz w:val="26"/>
          <w:szCs w:val="26"/>
        </w:rPr>
        <w:t xml:space="preserve">», являясь законным представител</w:t>
      </w:r>
      <w:r>
        <w:rPr>
          <w:color w:val="auto"/>
          <w:sz w:val="26"/>
          <w:szCs w:val="26"/>
        </w:rPr>
        <w:t xml:space="preserve">ем субъекта персональных данных:</w:t>
      </w:r>
      <w:r>
        <w:rPr>
          <w:color w:val="auto"/>
          <w:sz w:val="26"/>
          <w:szCs w:val="26"/>
        </w:rPr>
        <w:t xml:space="preserve">__________________________________________</w:t>
      </w:r>
      <w:r>
        <w:rPr>
          <w:color w:val="auto"/>
          <w:sz w:val="26"/>
          <w:szCs w:val="26"/>
        </w:rPr>
      </w:r>
    </w:p>
    <w:p>
      <w:pPr>
        <w:pStyle w:val="772"/>
        <w:ind w:left="4536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(ФИО)</w:t>
      </w:r>
      <w:r>
        <w:rPr>
          <w:color w:val="auto"/>
          <w:sz w:val="20"/>
          <w:szCs w:val="20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Проживающего(-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свидетельство о рождении: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серия_______номер</w:t>
      </w:r>
      <w:r>
        <w:rPr>
          <w:sz w:val="26"/>
          <w:szCs w:val="26"/>
        </w:rPr>
        <w:t xml:space="preserve">_______,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выдан_______________</w:t>
      </w:r>
      <w:r>
        <w:rPr>
          <w:sz w:val="26"/>
          <w:szCs w:val="26"/>
        </w:rPr>
      </w:r>
    </w:p>
    <w:p>
      <w:pPr>
        <w:pStyle w:val="77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</w:t>
      </w:r>
      <w:r>
        <w:rPr>
          <w:sz w:val="26"/>
          <w:szCs w:val="26"/>
        </w:rPr>
        <w:t xml:space="preserve">____________</w:t>
      </w:r>
      <w:r>
        <w:rPr>
          <w:sz w:val="26"/>
          <w:szCs w:val="26"/>
        </w:rPr>
        <w:t xml:space="preserve">_«___»___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____ ____ г.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своей волей и в своем интересе выражаю согласие на обработку 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</w:t>
      </w:r>
      <w:r>
        <w:rPr>
          <w:sz w:val="26"/>
          <w:szCs w:val="26"/>
        </w:rPr>
      </w:r>
    </w:p>
    <w:p>
      <w:pPr>
        <w:pStyle w:val="772"/>
        <w:ind w:left="708" w:firstLine="708"/>
        <w:jc w:val="both"/>
        <w:spacing w:line="276" w:lineRule="auto"/>
        <w:rPr>
          <w:i/>
          <w:iCs/>
        </w:rPr>
      </w:pPr>
      <w:r>
        <w:rPr>
          <w:i/>
          <w:iCs/>
        </w:rPr>
        <w:t xml:space="preserve">(наименование финансового органа муниципального образования)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>
        <w:rPr>
          <w:i/>
          <w:iCs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>
        <w:rPr>
          <w:iCs/>
          <w:sz w:val="26"/>
          <w:szCs w:val="26"/>
        </w:rPr>
        <w:t xml:space="preserve">Департаменту финансов Ханты-Мансийского автономного округа – Югры.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iCs/>
          <w:sz w:val="26"/>
          <w:szCs w:val="26"/>
        </w:rPr>
        <w:t xml:space="preserve">Подтверждаю согласие для</w:t>
      </w:r>
      <w:r>
        <w:rPr>
          <w:sz w:val="26"/>
          <w:szCs w:val="26"/>
        </w:rPr>
        <w:t xml:space="preserve"> передачи </w:t>
      </w:r>
      <w:r>
        <w:rPr>
          <w:iCs/>
          <w:sz w:val="26"/>
          <w:szCs w:val="26"/>
        </w:rPr>
        <w:t xml:space="preserve"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>
        <w:rPr>
          <w:sz w:val="26"/>
          <w:szCs w:val="26"/>
        </w:rPr>
        <w:t xml:space="preserve"> во втором туре</w:t>
      </w:r>
      <w:r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Обработка персональных данных может осуществляться как с использованием средств автоматизации, так и без использования таких средств.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</w:t>
      </w:r>
      <w:hyperlink r:id="rId20" w:tooltip="http://www.depfin.admhmao.ru" w:history="1">
        <w:r>
          <w:rPr>
            <w:rStyle w:val="749"/>
            <w:sz w:val="26"/>
            <w:szCs w:val="26"/>
            <w:lang w:val="en-US"/>
          </w:rPr>
          <w:t xml:space="preserve">www</w:t>
        </w:r>
        <w:r>
          <w:rPr>
            <w:rStyle w:val="749"/>
            <w:sz w:val="26"/>
            <w:szCs w:val="26"/>
          </w:rPr>
          <w:t xml:space="preserve">.</w:t>
        </w:r>
        <w:r>
          <w:rPr>
            <w:rStyle w:val="749"/>
            <w:sz w:val="26"/>
            <w:szCs w:val="26"/>
            <w:lang w:val="en-US"/>
          </w:rPr>
          <w:t xml:space="preserve">depfin</w:t>
        </w:r>
        <w:r>
          <w:rPr>
            <w:rStyle w:val="749"/>
            <w:sz w:val="26"/>
            <w:szCs w:val="26"/>
          </w:rPr>
          <w:t xml:space="preserve">.</w:t>
        </w:r>
        <w:r>
          <w:rPr>
            <w:rStyle w:val="749"/>
            <w:sz w:val="26"/>
            <w:szCs w:val="26"/>
            <w:lang w:val="en-US"/>
          </w:rPr>
          <w:t xml:space="preserve">admhmao</w:t>
        </w:r>
        <w:r>
          <w:rPr>
            <w:rStyle w:val="749"/>
            <w:sz w:val="26"/>
            <w:szCs w:val="26"/>
          </w:rPr>
          <w:t xml:space="preserve">.</w:t>
        </w:r>
        <w:r>
          <w:rPr>
            <w:rStyle w:val="749"/>
            <w:sz w:val="26"/>
            <w:szCs w:val="26"/>
            <w:lang w:val="en-US"/>
          </w:rPr>
          <w:t xml:space="preserve">ru</w:t>
        </w:r>
      </w:hyperlink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/____________________/                                                                                       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  <w:r>
        <w:rPr>
          <w:sz w:val="20"/>
          <w:szCs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6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b/>
          <w:bCs/>
          <w:sz w:val="26"/>
          <w:szCs w:val="26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_____________________________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_______________________________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 xml:space="preserve">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</w:t>
      </w:r>
      <w:r>
        <w:rPr>
          <w:sz w:val="26"/>
          <w:szCs w:val="26"/>
        </w:rPr>
        <w:t xml:space="preserve">«___»____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___20 __ г.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21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данных», своей волей и в своем интересе выражаю согласие на обработку </w:t>
      </w:r>
      <w:r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>
        <w:rPr>
          <w:sz w:val="26"/>
          <w:szCs w:val="26"/>
        </w:rPr>
        <w:t xml:space="preserve">для их дальнейшей обработки в цел</w:t>
      </w:r>
      <w:r>
        <w:rPr>
          <w:sz w:val="26"/>
          <w:szCs w:val="26"/>
        </w:rPr>
        <w:t xml:space="preserve">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Cs/>
          <w:sz w:val="26"/>
          <w:szCs w:val="26"/>
        </w:rPr>
      </w:pPr>
      <w:r>
        <w:rPr>
          <w:sz w:val="26"/>
          <w:szCs w:val="26"/>
        </w:rPr>
        <w:t xml:space="preserve"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>
        <w:rPr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автоматизации так и без использования таких средств.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color w:val="auto"/>
          <w:sz w:val="26"/>
          <w:szCs w:val="26"/>
        </w:rPr>
        <w:t xml:space="preserve">  (</w:t>
      </w:r>
      <w:r>
        <w:rPr>
          <w:color w:val="auto"/>
          <w:sz w:val="26"/>
          <w:szCs w:val="26"/>
          <w:lang w:val="en-US"/>
        </w:rPr>
        <w:t xml:space="preserve">www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depfin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admhmao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ru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                       /____________________/</w:t>
      </w:r>
      <w:r>
        <w:rPr>
          <w:sz w:val="26"/>
          <w:szCs w:val="2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 xml:space="preserve">Заполняется физическим лицом и направляется в Департамент финансов Ханты-Мансийского автономного округа - Югры</w:t>
      </w:r>
      <w:r>
        <w:rPr>
          <w:sz w:val="20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7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b/>
          <w:bCs/>
          <w:sz w:val="26"/>
          <w:szCs w:val="26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серия ___________ номер __________, выдан </w:t>
      </w:r>
      <w:r>
        <w:rPr>
          <w:sz w:val="26"/>
          <w:szCs w:val="26"/>
        </w:rPr>
        <w:t xml:space="preserve">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</w:t>
      </w:r>
      <w:r>
        <w:rPr>
          <w:sz w:val="26"/>
          <w:szCs w:val="26"/>
        </w:rPr>
        <w:t xml:space="preserve">«___»____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  <w:t xml:space="preserve">___20 __ г. своей волей и в своем интересе выражаю согласие на обработку 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(наименование финансового органа муниципального образования)</w:t>
      </w:r>
      <w:r>
        <w:rPr>
          <w:i/>
          <w:iCs/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>
        <w:rPr>
          <w:i/>
          <w:iCs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22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>
        <w:rPr>
          <w:iCs/>
          <w:sz w:val="26"/>
          <w:szCs w:val="26"/>
        </w:rPr>
        <w:t xml:space="preserve">Департаменту финансов Ханты-Мансийского автономного округа – Югры.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iCs/>
          <w:sz w:val="26"/>
          <w:szCs w:val="26"/>
        </w:rPr>
        <w:t xml:space="preserve">Подтверждаю согласие для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передачи персональных данных по средствам электронной почты Департаментом финансов Ханты-Мансийского автономного округа – Югры, для</w:t>
      </w:r>
      <w:r>
        <w:rPr>
          <w:sz w:val="26"/>
          <w:szCs w:val="26"/>
        </w:rPr>
        <w:t xml:space="preserve"> их дальнейшей обработки в целях участия во втором туре</w:t>
      </w:r>
      <w:r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color w:val="auto"/>
          <w:sz w:val="26"/>
          <w:szCs w:val="26"/>
        </w:rPr>
        <w:t xml:space="preserve">  (</w:t>
      </w:r>
      <w:r>
        <w:rPr>
          <w:color w:val="auto"/>
          <w:sz w:val="26"/>
          <w:szCs w:val="26"/>
          <w:lang w:val="en-US"/>
        </w:rPr>
        <w:t xml:space="preserve">www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depfin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admhmao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ru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                      /____________________/</w:t>
      </w:r>
      <w:r>
        <w:rPr>
          <w:sz w:val="26"/>
          <w:szCs w:val="26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 xml:space="preserve">Заполняется физическим лицом и направляется в Финансовый орган муниципального образования.</w:t>
      </w:r>
      <w:r>
        <w:rPr>
          <w:sz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8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b/>
          <w:bCs/>
          <w:sz w:val="26"/>
          <w:szCs w:val="26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__________,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_________</w:t>
      </w:r>
      <w:r>
        <w:rPr>
          <w:sz w:val="26"/>
          <w:szCs w:val="26"/>
          <w:u w:val="single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 xml:space="preserve">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</w:t>
      </w:r>
      <w:r>
        <w:rPr>
          <w:sz w:val="26"/>
          <w:szCs w:val="26"/>
        </w:rPr>
        <w:t xml:space="preserve">«___»_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______20 __ г., 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являясь работником_______________________________________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i/>
          <w:iCs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ab/>
        <w:t xml:space="preserve">(</w:t>
      </w:r>
      <w:r>
        <w:rPr>
          <w:i/>
        </w:rPr>
        <w:t xml:space="preserve">н</w:t>
      </w:r>
      <w:r>
        <w:rPr>
          <w:i/>
          <w:iCs/>
        </w:rPr>
        <w:t xml:space="preserve">аименование юридического лица)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местонахождение:</w:t>
      </w:r>
      <w:r>
        <w:rPr>
          <w:i/>
          <w:iCs/>
          <w:sz w:val="26"/>
          <w:szCs w:val="26"/>
        </w:rPr>
        <w:t xml:space="preserve">_______________________________________</w:t>
      </w:r>
      <w:r>
        <w:rPr>
          <w:i/>
          <w:iCs/>
          <w:sz w:val="26"/>
          <w:szCs w:val="26"/>
        </w:rPr>
        <w:t xml:space="preserve">_____</w:t>
      </w:r>
      <w:r>
        <w:rPr>
          <w:i/>
          <w:iCs/>
          <w:sz w:val="26"/>
          <w:szCs w:val="26"/>
        </w:rPr>
        <w:t xml:space="preserve">__________</w:t>
      </w:r>
      <w:r>
        <w:rPr>
          <w:i/>
          <w:iCs/>
          <w:sz w:val="26"/>
          <w:szCs w:val="26"/>
        </w:rPr>
      </w:r>
    </w:p>
    <w:p>
      <w:pPr>
        <w:pStyle w:val="772"/>
        <w:ind w:left="2124" w:firstLine="708"/>
        <w:jc w:val="both"/>
        <w:spacing w:line="276" w:lineRule="auto"/>
        <w:rPr>
          <w:i/>
          <w:iCs/>
        </w:rPr>
      </w:pPr>
      <w:r>
        <w:rPr>
          <w:i/>
          <w:iCs/>
        </w:rPr>
        <w:t xml:space="preserve">(юридический адрес юридического лица)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в</w:t>
      </w:r>
      <w:r>
        <w:rPr>
          <w:sz w:val="26"/>
          <w:szCs w:val="26"/>
        </w:rPr>
        <w:t xml:space="preserve"> соответствии с </w:t>
      </w:r>
      <w:hyperlink r:id="rId23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данных»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своей волей и в своем интересе выражаю согласие на обработку </w:t>
      </w:r>
      <w:r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>
        <w:rPr>
          <w:sz w:val="26"/>
          <w:szCs w:val="26"/>
        </w:rPr>
        <w:t xml:space="preserve">для их дальнейшей обработки в целях приема и учета «заявок на участие в конкурсе проектов по представ</w:t>
      </w:r>
      <w:r>
        <w:rPr>
          <w:sz w:val="26"/>
          <w:szCs w:val="26"/>
        </w:rPr>
        <w:t xml:space="preserve">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iCs/>
          <w:sz w:val="26"/>
          <w:szCs w:val="26"/>
        </w:rPr>
        <w:t xml:space="preserve">Подтверждаю согласие на</w:t>
      </w:r>
      <w:r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  <w:r>
        <w:rPr>
          <w:i/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</w:t>
      </w:r>
      <w:r>
        <w:rPr>
          <w:color w:val="auto"/>
          <w:sz w:val="26"/>
          <w:szCs w:val="26"/>
          <w:lang w:val="en-US"/>
        </w:rPr>
        <w:t xml:space="preserve">www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depfin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admhmao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ru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                      /____________________/</w:t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 xml:space="preserve"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  <w:r>
        <w:rPr>
          <w:sz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9 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регионального этапа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по представлению бюджета для граждан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pStyle w:val="772"/>
        <w:jc w:val="center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</w:t>
      </w:r>
      <w:r>
        <w:rPr>
          <w:sz w:val="26"/>
          <w:szCs w:val="26"/>
        </w:rPr>
      </w:r>
    </w:p>
    <w:p>
      <w:pPr>
        <w:pStyle w:val="772"/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</w:t>
      </w:r>
      <w:r>
        <w:rPr>
          <w:b/>
          <w:b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_,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проживающий(-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 _____________________________________</w:t>
      </w: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 серия __________ номер 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__, выдан </w:t>
      </w:r>
      <w:r>
        <w:rPr>
          <w:sz w:val="26"/>
          <w:szCs w:val="26"/>
        </w:rPr>
        <w:t xml:space="preserve">_______________________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</w:t>
      </w:r>
      <w:r>
        <w:rPr>
          <w:sz w:val="26"/>
          <w:szCs w:val="26"/>
        </w:rPr>
        <w:t xml:space="preserve">«___»__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_____20 __ г., 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являясь работником 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pStyle w:val="772"/>
        <w:ind w:left="2124" w:firstLine="708"/>
        <w:jc w:val="both"/>
        <w:spacing w:line="276" w:lineRule="auto"/>
        <w:rPr>
          <w:i/>
          <w:iCs/>
        </w:rPr>
      </w:pPr>
      <w:r>
        <w:t xml:space="preserve"> (</w:t>
      </w:r>
      <w:r>
        <w:rPr>
          <w:i/>
          <w:iCs/>
        </w:rPr>
        <w:t xml:space="preserve">наименование юридического лица)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местонахождение: 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pStyle w:val="772"/>
        <w:ind w:left="2124" w:firstLine="708"/>
        <w:jc w:val="both"/>
        <w:spacing w:line="276" w:lineRule="auto"/>
        <w:rPr>
          <w:i/>
          <w:iCs/>
        </w:rPr>
      </w:pPr>
      <w:r>
        <w:rPr>
          <w:i/>
          <w:iCs/>
        </w:rPr>
        <w:t xml:space="preserve">(юридический адрес юридического лица)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своей волей и в своем интересе выражаю согласие на обработку 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</w:rPr>
      </w:pPr>
      <w:r>
        <w:t xml:space="preserve"> </w:t>
      </w:r>
      <w:r>
        <w:rPr>
          <w:i/>
          <w:iCs/>
        </w:rPr>
        <w:t xml:space="preserve">(наименование финансового органа муниципального образования) </w:t>
      </w:r>
      <w:r>
        <w:rPr>
          <w:i/>
          <w:iCs/>
        </w:rPr>
      </w:r>
    </w:p>
    <w:p>
      <w:pPr>
        <w:pStyle w:val="772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24" w:tooltip="consultantplus://offline/ref=798515D39B476E5701E71ADAEC34BF359CF7673A950CCAF7293B7593A9DACC1286561D9460898D63j5ZDI" w:history="1">
        <w:r>
          <w:rPr>
            <w:sz w:val="26"/>
            <w:szCs w:val="26"/>
          </w:rPr>
          <w:t xml:space="preserve">частью 4 статьи 9</w:t>
        </w:r>
      </w:hyperlink>
      <w:r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>
        <w:rPr>
          <w:iCs/>
          <w:sz w:val="26"/>
          <w:szCs w:val="26"/>
        </w:rPr>
        <w:t xml:space="preserve">Департаменту финансов Ханты-Мансийского автономного округа – Югры (далее – Организатор). Подтверждаю согласие на</w:t>
      </w:r>
      <w:r>
        <w:rPr>
          <w:sz w:val="26"/>
          <w:szCs w:val="26"/>
        </w:rPr>
        <w:t xml:space="preserve"> передачу персональных данных организатором </w:t>
      </w:r>
      <w:r>
        <w:rPr>
          <w:iCs/>
          <w:sz w:val="26"/>
          <w:szCs w:val="26"/>
        </w:rPr>
        <w:t xml:space="preserve"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  <w:r>
        <w:rPr>
          <w:i/>
          <w:iCs/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</w:t>
      </w:r>
      <w:r>
        <w:rPr>
          <w:color w:val="auto"/>
          <w:sz w:val="26"/>
          <w:szCs w:val="26"/>
          <w:lang w:val="en-US"/>
        </w:rPr>
        <w:t xml:space="preserve">www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depfin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admhmao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  <w:lang w:val="en-US"/>
        </w:rPr>
        <w:t xml:space="preserve">ru</w:t>
      </w:r>
      <w:r>
        <w:rPr>
          <w:color w:val="auto"/>
          <w:sz w:val="26"/>
          <w:szCs w:val="26"/>
        </w:rPr>
        <w:t xml:space="preserve">).</w:t>
      </w:r>
      <w:r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  <w:r>
        <w:rPr>
          <w:sz w:val="26"/>
          <w:szCs w:val="26"/>
        </w:rPr>
      </w:r>
    </w:p>
    <w:p>
      <w:pPr>
        <w:pStyle w:val="772"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Данное согласие может быть отозвано по моему письменному заявлению.</w:t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«___»_____________ 20 ___г.                                   /____________________/</w:t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iCs/>
          <w:sz w:val="28"/>
          <w:szCs w:val="28"/>
        </w:rPr>
      </w:pPr>
      <w:r>
        <w:rPr>
          <w:sz w:val="20"/>
        </w:rPr>
        <w:t xml:space="preserve">* </w:t>
      </w:r>
      <w:r>
        <w:rPr>
          <w:sz w:val="20"/>
        </w:rPr>
        <w:t xml:space="preserve">Заполняется работником (автором проекта) юридического лица и направляется в Финансовый орган муниципального образования.</w:t>
      </w:r>
      <w:r>
        <w:rPr>
          <w:iCs/>
          <w:sz w:val="28"/>
          <w:szCs w:val="28"/>
        </w:rPr>
      </w:r>
    </w:p>
    <w:p>
      <w:pPr>
        <w:pStyle w:val="750"/>
        <w:ind w:left="142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2</w:t>
      </w:r>
      <w:r>
        <w:rPr>
          <w:iCs/>
          <w:sz w:val="28"/>
          <w:szCs w:val="28"/>
        </w:rPr>
      </w:r>
    </w:p>
    <w:p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приказу Департамента финансов </w:t>
      </w:r>
      <w:r>
        <w:rPr>
          <w:iCs/>
          <w:sz w:val="28"/>
          <w:szCs w:val="28"/>
        </w:rPr>
      </w:r>
    </w:p>
    <w:p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Югры  </w:t>
      </w:r>
      <w:r>
        <w:rPr>
          <w:iCs/>
          <w:sz w:val="28"/>
          <w:szCs w:val="28"/>
        </w:rPr>
        <w:br/>
        <w:t xml:space="preserve">от </w:t>
      </w:r>
      <w:r>
        <w:rPr>
          <w:iCs/>
          <w:sz w:val="28"/>
          <w:szCs w:val="28"/>
        </w:rPr>
        <w:t xml:space="preserve">__.</w:t>
      </w:r>
      <w:r>
        <w:rPr>
          <w:iCs/>
          <w:sz w:val="28"/>
          <w:szCs w:val="28"/>
        </w:rPr>
        <w:t xml:space="preserve">0</w:t>
      </w:r>
      <w:r>
        <w:rPr>
          <w:iCs/>
          <w:sz w:val="28"/>
          <w:szCs w:val="28"/>
        </w:rPr>
        <w:t xml:space="preserve">5</w:t>
      </w:r>
      <w:r>
        <w:rPr>
          <w:iCs/>
          <w:sz w:val="28"/>
          <w:szCs w:val="28"/>
        </w:rPr>
        <w:t xml:space="preserve">.202</w:t>
      </w:r>
      <w:r>
        <w:rPr>
          <w:iCs/>
          <w:sz w:val="28"/>
          <w:szCs w:val="28"/>
        </w:rPr>
        <w:t xml:space="preserve">5</w:t>
      </w:r>
      <w:r>
        <w:rPr>
          <w:iCs/>
          <w:sz w:val="28"/>
          <w:szCs w:val="28"/>
        </w:rPr>
        <w:t xml:space="preserve"> г. № 20-ОД-____</w:t>
      </w:r>
      <w:r>
        <w:rPr>
          <w:i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конкурсной комиссии регионального этапа конкурса проектов </w:t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представлению бюджета для граждан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>
        <w:tblPrEx/>
        <w:trPr/>
        <w:tc>
          <w:tcPr>
            <w:gridSpan w:val="2"/>
            <w:shd w:val="clear" w:color="auto" w:fill="auto"/>
            <w:tcW w:w="932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конкурсной комиссии: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Дюдина</w:t>
            </w:r>
            <w:r>
              <w:rPr>
                <w:bCs/>
                <w:sz w:val="28"/>
                <w:szCs w:val="28"/>
              </w:rPr>
              <w:t xml:space="preserve"> В.А.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З</w:t>
            </w:r>
            <w:r>
              <w:rPr>
                <w:bCs/>
                <w:sz w:val="28"/>
                <w:szCs w:val="28"/>
              </w:rPr>
              <w:t xml:space="preserve">аместитель Губернатора</w:t>
            </w:r>
            <w:r>
              <w:rPr>
                <w:bCs/>
                <w:sz w:val="28"/>
                <w:szCs w:val="28"/>
              </w:rPr>
              <w:t xml:space="preserve">, директор Департамента финансов</w:t>
            </w:r>
            <w:r>
              <w:rPr>
                <w:bCs/>
                <w:sz w:val="28"/>
                <w:szCs w:val="28"/>
              </w:rPr>
              <w:t xml:space="preserve"> Ханты-Мансийского автономного округа– Югры 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32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 конкурсной комиссии: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Попкова С.М.</w:t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первый заместитель директора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Цема О.В.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директора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Ташлыкова И.Л.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tabs>
                <w:tab w:val="left" w:pos="33" w:leader="none"/>
                <w:tab w:val="left" w:pos="175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начальник Управления сводного бюджетного планирования и межбюджетных отношений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Пешков Д.А.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  <w:tab w:val="left" w:pos="317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начальник Управления методологии и информационных технологий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Щипачева Н.Е.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  <w:tab w:val="left" w:pos="317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начальника Управления бюджетной политики в социальной сфере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С.М.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  <w:tab w:val="left" w:pos="317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начальника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Управление производственной сферы и инвестиционных программ</w:t>
            </w:r>
            <w:r>
              <w:rPr>
                <w:bCs/>
                <w:sz w:val="28"/>
                <w:szCs w:val="28"/>
              </w:rPr>
              <w:t xml:space="preserve">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Александрова Л.А.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начальник отдела доходов Управления доходов и налоговой политики Департамента финансов Ханты-Мансийского автономного округа – Югры;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Винникова С.Г.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начальник о</w:t>
            </w:r>
            <w:r>
              <w:rPr>
                <w:bCs/>
                <w:sz w:val="28"/>
                <w:szCs w:val="28"/>
              </w:rPr>
              <w:t xml:space="preserve">тдел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 финансирования государственного аппарата</w:t>
            </w:r>
            <w:r>
              <w:rPr>
                <w:bCs/>
                <w:sz w:val="28"/>
                <w:szCs w:val="28"/>
              </w:rPr>
              <w:t xml:space="preserve"> Департамента финансов Ханты-Мансийского автономного округа – Югры.</w:t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21</w:t>
    </w:r>
    <w:r>
      <w:fldChar w:fldCharType="end"/>
    </w:r>
    <w:r/>
  </w:p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 w:ascii="Times New Roman" w:hAnsi="Times New Roman" w:cs="Times New Roman"/>
        <w:b w:val="0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7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7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81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6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53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82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67" w:legacySpace="0"/>
        <w:lvlJc w:val="left"/>
        <w:pPr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2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2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2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2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2"/>
    <w:link w:val="735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31"/>
    <w:uiPriority w:val="99"/>
  </w:style>
  <w:style w:type="character" w:styleId="45">
    <w:name w:val="Footer Char"/>
    <w:basedOn w:val="722"/>
    <w:link w:val="733"/>
    <w:uiPriority w:val="99"/>
  </w:style>
  <w:style w:type="paragraph" w:styleId="46">
    <w:name w:val="Caption"/>
    <w:basedOn w:val="717"/>
    <w:next w:val="7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1"/>
    <w:uiPriority w:val="99"/>
    <w:rPr>
      <w:sz w:val="18"/>
    </w:rPr>
  </w:style>
  <w:style w:type="character" w:styleId="179">
    <w:name w:val="Endnote Text Char"/>
    <w:link w:val="738"/>
    <w:uiPriority w:val="99"/>
    <w:rPr>
      <w:sz w:val="20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sz w:val="24"/>
    </w:rPr>
  </w:style>
  <w:style w:type="paragraph" w:styleId="718">
    <w:name w:val="Heading 1"/>
    <w:basedOn w:val="717"/>
    <w:next w:val="717"/>
    <w:link w:val="759"/>
    <w:uiPriority w:val="9"/>
    <w:qFormat/>
    <w:pPr>
      <w:keepNext/>
      <w:outlineLvl w:val="0"/>
    </w:pPr>
    <w:rPr>
      <w:b/>
    </w:rPr>
  </w:style>
  <w:style w:type="paragraph" w:styleId="719">
    <w:name w:val="Heading 4"/>
    <w:basedOn w:val="717"/>
    <w:next w:val="717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0">
    <w:name w:val="Heading 5"/>
    <w:basedOn w:val="717"/>
    <w:next w:val="717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21">
    <w:name w:val="Heading 7"/>
    <w:basedOn w:val="717"/>
    <w:next w:val="717"/>
    <w:qFormat/>
    <w:pPr>
      <w:spacing w:before="240" w:after="60"/>
      <w:outlineLvl w:val="6"/>
    </w:pPr>
    <w:rPr>
      <w:szCs w:val="24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>
    <w:name w:val="Body Text 3"/>
    <w:basedOn w:val="717"/>
    <w:pPr>
      <w:spacing w:after="120"/>
    </w:pPr>
    <w:rPr>
      <w:sz w:val="16"/>
      <w:szCs w:val="16"/>
    </w:rPr>
  </w:style>
  <w:style w:type="paragraph" w:styleId="726" w:customStyle="1">
    <w:name w:val="Знак Знак Знак"/>
    <w:basedOn w:val="7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727" w:customStyle="1">
    <w:name w:val="Знак Знак Знак"/>
    <w:basedOn w:val="7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728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>
    <w:name w:val="Balloon Text"/>
    <w:basedOn w:val="717"/>
    <w:link w:val="756"/>
    <w:uiPriority w:val="99"/>
    <w:semiHidden/>
    <w:rPr>
      <w:rFonts w:ascii="Tahoma" w:hAnsi="Tahoma" w:cs="Tahoma"/>
      <w:sz w:val="16"/>
      <w:szCs w:val="16"/>
    </w:rPr>
  </w:style>
  <w:style w:type="paragraph" w:styleId="730" w:customStyle="1">
    <w:name w:val="Char Car Char"/>
    <w:basedOn w:val="71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731">
    <w:name w:val="Header"/>
    <w:basedOn w:val="717"/>
    <w:link w:val="732"/>
    <w:uiPriority w:val="99"/>
    <w:pPr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link w:val="731"/>
    <w:uiPriority w:val="99"/>
    <w:rPr>
      <w:sz w:val="24"/>
    </w:rPr>
  </w:style>
  <w:style w:type="paragraph" w:styleId="733">
    <w:name w:val="Footer"/>
    <w:basedOn w:val="717"/>
    <w:link w:val="734"/>
    <w:uiPriority w:val="99"/>
    <w:pPr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link w:val="733"/>
    <w:uiPriority w:val="99"/>
    <w:rPr>
      <w:sz w:val="24"/>
    </w:rPr>
  </w:style>
  <w:style w:type="paragraph" w:styleId="735">
    <w:name w:val="Title"/>
    <w:basedOn w:val="717"/>
    <w:qFormat/>
    <w:pPr>
      <w:jc w:val="center"/>
    </w:pPr>
    <w:rPr>
      <w:b/>
      <w:i/>
    </w:rPr>
  </w:style>
  <w:style w:type="paragraph" w:styleId="736" w:customStyle="1">
    <w:name w:val="ConsPlusNormal"/>
    <w:pPr>
      <w:widowControl w:val="off"/>
    </w:pPr>
    <w:rPr>
      <w:rFonts w:ascii="Arial" w:hAnsi="Arial" w:cs="Arial"/>
    </w:rPr>
  </w:style>
  <w:style w:type="paragraph" w:styleId="73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738">
    <w:name w:val="endnote text"/>
    <w:basedOn w:val="717"/>
    <w:link w:val="739"/>
    <w:rPr>
      <w:sz w:val="20"/>
    </w:rPr>
  </w:style>
  <w:style w:type="character" w:styleId="739" w:customStyle="1">
    <w:name w:val="Текст концевой сноски Знак"/>
    <w:basedOn w:val="722"/>
    <w:link w:val="738"/>
  </w:style>
  <w:style w:type="character" w:styleId="740">
    <w:name w:val="endnote reference"/>
    <w:rPr>
      <w:vertAlign w:val="superscript"/>
    </w:rPr>
  </w:style>
  <w:style w:type="paragraph" w:styleId="741">
    <w:name w:val="footnote text"/>
    <w:basedOn w:val="717"/>
    <w:link w:val="742"/>
    <w:rPr>
      <w:sz w:val="20"/>
    </w:rPr>
  </w:style>
  <w:style w:type="character" w:styleId="742" w:customStyle="1">
    <w:name w:val="Текст сноски Знак"/>
    <w:basedOn w:val="722"/>
    <w:link w:val="741"/>
  </w:style>
  <w:style w:type="character" w:styleId="743">
    <w:name w:val="footnote reference"/>
    <w:rPr>
      <w:vertAlign w:val="superscript"/>
    </w:rPr>
  </w:style>
  <w:style w:type="character" w:styleId="744">
    <w:name w:val="annotation reference"/>
    <w:rPr>
      <w:sz w:val="16"/>
      <w:szCs w:val="16"/>
    </w:rPr>
  </w:style>
  <w:style w:type="paragraph" w:styleId="745">
    <w:name w:val="annotation text"/>
    <w:basedOn w:val="717"/>
    <w:link w:val="746"/>
    <w:rPr>
      <w:sz w:val="20"/>
    </w:rPr>
  </w:style>
  <w:style w:type="character" w:styleId="746" w:customStyle="1">
    <w:name w:val="Текст примечания Знак"/>
    <w:basedOn w:val="722"/>
    <w:link w:val="745"/>
  </w:style>
  <w:style w:type="paragraph" w:styleId="747">
    <w:name w:val="annotation subject"/>
    <w:basedOn w:val="745"/>
    <w:next w:val="745"/>
    <w:link w:val="748"/>
    <w:rPr>
      <w:b/>
      <w:bCs/>
    </w:rPr>
  </w:style>
  <w:style w:type="character" w:styleId="748" w:customStyle="1">
    <w:name w:val="Тема примечания Знак"/>
    <w:link w:val="747"/>
    <w:rPr>
      <w:b/>
      <w:bCs/>
    </w:rPr>
  </w:style>
  <w:style w:type="character" w:styleId="749">
    <w:name w:val="Hyperlink"/>
    <w:uiPriority w:val="99"/>
    <w:unhideWhenUsed/>
    <w:rPr>
      <w:strike w:val="0"/>
      <w:color w:val="0066b3"/>
      <w:u w:val="none"/>
    </w:rPr>
  </w:style>
  <w:style w:type="paragraph" w:styleId="750">
    <w:name w:val="List Paragraph"/>
    <w:basedOn w:val="717"/>
    <w:link w:val="752"/>
    <w:uiPriority w:val="34"/>
    <w:qFormat/>
    <w:pPr>
      <w:ind w:left="708"/>
    </w:pPr>
    <w:rPr>
      <w:szCs w:val="24"/>
    </w:rPr>
  </w:style>
  <w:style w:type="paragraph" w:styleId="751" w:customStyle="1">
    <w:name w:val="Обычный1"/>
    <w:pPr>
      <w:widowControl w:val="off"/>
    </w:pPr>
  </w:style>
  <w:style w:type="character" w:styleId="752" w:customStyle="1">
    <w:name w:val="Абзац списка Знак"/>
    <w:link w:val="750"/>
    <w:uiPriority w:val="34"/>
    <w:rPr>
      <w:sz w:val="24"/>
      <w:szCs w:val="24"/>
    </w:rPr>
  </w:style>
  <w:style w:type="paragraph" w:styleId="753">
    <w:name w:val="Body Text Indent 3"/>
    <w:basedOn w:val="717"/>
    <w:link w:val="754"/>
    <w:uiPriority w:val="99"/>
    <w:unhideWhenUsed/>
    <w:pPr>
      <w:ind w:left="283"/>
      <w:spacing w:after="120"/>
    </w:pPr>
    <w:rPr>
      <w:sz w:val="16"/>
      <w:szCs w:val="16"/>
    </w:rPr>
  </w:style>
  <w:style w:type="character" w:styleId="754" w:customStyle="1">
    <w:name w:val="Основной текст с отступом 3 Знак"/>
    <w:basedOn w:val="722"/>
    <w:link w:val="753"/>
    <w:uiPriority w:val="99"/>
    <w:rPr>
      <w:sz w:val="16"/>
      <w:szCs w:val="16"/>
    </w:rPr>
  </w:style>
  <w:style w:type="paragraph" w:styleId="755" w:customStyle="1">
    <w:name w:val="Знак Знак Знак1"/>
    <w:basedOn w:val="7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756" w:customStyle="1">
    <w:name w:val="Текст выноски Знак"/>
    <w:link w:val="729"/>
    <w:uiPriority w:val="99"/>
    <w:semiHidden/>
    <w:rPr>
      <w:rFonts w:ascii="Tahoma" w:hAnsi="Tahoma" w:cs="Tahoma"/>
      <w:sz w:val="16"/>
      <w:szCs w:val="16"/>
    </w:rPr>
  </w:style>
  <w:style w:type="paragraph" w:styleId="757">
    <w:name w:val="Body Text"/>
    <w:basedOn w:val="717"/>
    <w:link w:val="758"/>
    <w:pPr>
      <w:jc w:val="center"/>
    </w:pPr>
    <w:rPr>
      <w:b/>
      <w:bCs/>
      <w:sz w:val="28"/>
      <w:szCs w:val="24"/>
    </w:rPr>
  </w:style>
  <w:style w:type="character" w:styleId="758" w:customStyle="1">
    <w:name w:val="Основной текст Знак"/>
    <w:basedOn w:val="722"/>
    <w:link w:val="757"/>
    <w:rPr>
      <w:b/>
      <w:bCs/>
      <w:sz w:val="28"/>
      <w:szCs w:val="24"/>
    </w:rPr>
  </w:style>
  <w:style w:type="character" w:styleId="759" w:customStyle="1">
    <w:name w:val="Заголовок 1 Знак"/>
    <w:link w:val="718"/>
    <w:uiPriority w:val="9"/>
    <w:rPr>
      <w:b/>
      <w:sz w:val="24"/>
    </w:rPr>
  </w:style>
  <w:style w:type="character" w:styleId="760" w:customStyle="1">
    <w:name w:val="Основной текст_"/>
    <w:link w:val="762"/>
    <w:rPr>
      <w:spacing w:val="9"/>
      <w:sz w:val="25"/>
      <w:szCs w:val="25"/>
      <w:shd w:val="clear" w:color="auto" w:fill="ffffff"/>
    </w:rPr>
  </w:style>
  <w:style w:type="character" w:styleId="761" w:customStyle="1">
    <w:name w:val="Основной текст (3)_"/>
    <w:link w:val="763"/>
    <w:rPr>
      <w:b/>
      <w:bCs/>
      <w:spacing w:val="9"/>
      <w:sz w:val="25"/>
      <w:szCs w:val="25"/>
      <w:shd w:val="clear" w:color="auto" w:fill="ffffff"/>
    </w:rPr>
  </w:style>
  <w:style w:type="paragraph" w:styleId="762" w:customStyle="1">
    <w:name w:val="Основной текст2"/>
    <w:basedOn w:val="717"/>
    <w:link w:val="760"/>
    <w:pPr>
      <w:jc w:val="center"/>
      <w:spacing w:line="307" w:lineRule="exact"/>
      <w:shd w:val="clear" w:color="auto" w:fill="ffffff"/>
      <w:widowControl w:val="off"/>
    </w:pPr>
    <w:rPr>
      <w:spacing w:val="9"/>
      <w:sz w:val="25"/>
      <w:szCs w:val="25"/>
    </w:rPr>
  </w:style>
  <w:style w:type="paragraph" w:styleId="763" w:customStyle="1">
    <w:name w:val="Основной текст (3)"/>
    <w:basedOn w:val="717"/>
    <w:link w:val="761"/>
    <w:pPr>
      <w:jc w:val="center"/>
      <w:spacing w:before="1140" w:after="420" w:line="350" w:lineRule="exact"/>
      <w:shd w:val="clear" w:color="auto" w:fill="ffffff"/>
      <w:widowControl w:val="off"/>
    </w:pPr>
    <w:rPr>
      <w:b/>
      <w:bCs/>
      <w:spacing w:val="9"/>
      <w:sz w:val="25"/>
      <w:szCs w:val="25"/>
    </w:rPr>
  </w:style>
  <w:style w:type="character" w:styleId="764" w:customStyle="1">
    <w:name w:val="Основной текст1"/>
    <w:rPr>
      <w:rFonts w:ascii="Times New Roman" w:hAnsi="Times New Roman" w:eastAsia="Times New Roman" w:cs="Times New Roman"/>
      <w:color w:val="000000"/>
      <w:spacing w:val="9"/>
      <w:position w:val="0"/>
      <w:sz w:val="25"/>
      <w:szCs w:val="25"/>
      <w:u w:val="single"/>
      <w:shd w:val="clear" w:color="auto" w:fill="ffffff"/>
      <w:lang w:val="ru-RU"/>
    </w:rPr>
  </w:style>
  <w:style w:type="character" w:styleId="765" w:customStyle="1">
    <w:name w:val="Основной текст + Полужирный"/>
    <w:rPr>
      <w:rFonts w:ascii="Times New Roman" w:hAnsi="Times New Roman" w:eastAsia="Times New Roman" w:cs="Times New Roman"/>
      <w:b/>
      <w:bCs/>
      <w:color w:val="000000"/>
      <w:spacing w:val="9"/>
      <w:position w:val="0"/>
      <w:sz w:val="25"/>
      <w:szCs w:val="25"/>
      <w:shd w:val="clear" w:color="auto" w:fill="ffffff"/>
      <w:lang w:val="ru-RU"/>
    </w:rPr>
  </w:style>
  <w:style w:type="character" w:styleId="766" w:customStyle="1">
    <w:name w:val="Заголовок №1_"/>
    <w:link w:val="767"/>
    <w:rPr>
      <w:b/>
      <w:bCs/>
      <w:spacing w:val="9"/>
      <w:sz w:val="25"/>
      <w:szCs w:val="25"/>
      <w:shd w:val="clear" w:color="auto" w:fill="ffffff"/>
    </w:rPr>
  </w:style>
  <w:style w:type="paragraph" w:styleId="767" w:customStyle="1">
    <w:name w:val="Заголовок №1"/>
    <w:basedOn w:val="717"/>
    <w:link w:val="766"/>
    <w:pPr>
      <w:jc w:val="center"/>
      <w:spacing w:after="180" w:line="0" w:lineRule="atLeast"/>
      <w:shd w:val="clear" w:color="auto" w:fill="ffffff"/>
      <w:widowControl w:val="off"/>
      <w:outlineLvl w:val="0"/>
    </w:pPr>
    <w:rPr>
      <w:b/>
      <w:bCs/>
      <w:spacing w:val="9"/>
      <w:sz w:val="25"/>
      <w:szCs w:val="25"/>
    </w:rPr>
  </w:style>
  <w:style w:type="character" w:styleId="768" w:customStyle="1">
    <w:name w:val="Основной текст + 12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/>
    </w:rPr>
  </w:style>
  <w:style w:type="paragraph" w:styleId="769" w:customStyle="1">
    <w:name w:val="Основной текст3"/>
    <w:basedOn w:val="717"/>
    <w:pPr>
      <w:jc w:val="center"/>
      <w:spacing w:after="1260" w:line="317" w:lineRule="exact"/>
      <w:shd w:val="clear" w:color="auto" w:fill="ffffff"/>
      <w:widowControl w:val="off"/>
    </w:pPr>
    <w:rPr>
      <w:color w:val="000000"/>
      <w:spacing w:val="9"/>
      <w:sz w:val="25"/>
      <w:szCs w:val="25"/>
    </w:rPr>
  </w:style>
  <w:style w:type="character" w:styleId="770" w:customStyle="1">
    <w:name w:val="level2"/>
  </w:style>
  <w:style w:type="character" w:styleId="771" w:customStyle="1">
    <w:name w:val="Основной текст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23"/>
      <w:szCs w:val="23"/>
      <w:u w:val="none"/>
      <w:shd w:val="clear" w:color="auto" w:fill="ffffff"/>
      <w:lang w:val="ru-RU"/>
    </w:rPr>
  </w:style>
  <w:style w:type="paragraph" w:styleId="772" w:customStyle="1">
    <w:name w:val="Default"/>
    <w:rPr>
      <w:rFonts w:eastAsiaTheme="minorHAnsi"/>
      <w:color w:val="000000"/>
      <w:sz w:val="24"/>
      <w:szCs w:val="24"/>
      <w:lang w:eastAsia="en-US"/>
    </w:rPr>
  </w:style>
  <w:style w:type="character" w:styleId="773" w:customStyle="1">
    <w:name w:val="section-title"/>
    <w:basedOn w:val="72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fa.ru" TargetMode="External"/><Relationship Id="rId14" Type="http://schemas.openxmlformats.org/officeDocument/2006/relationships/hyperlink" Target="mailto:depfin@admhma&#1086;.ru" TargetMode="External"/><Relationship Id="rId15" Type="http://schemas.openxmlformats.org/officeDocument/2006/relationships/hyperlink" Target="mailto:depfin@admhma&#1086;.ru" TargetMode="External"/><Relationship Id="rId16" Type="http://schemas.openxmlformats.org/officeDocument/2006/relationships/hyperlink" Target="mailto:depfin@admhma&#1086;.ru" TargetMode="External"/><Relationship Id="rId17" Type="http://schemas.openxmlformats.org/officeDocument/2006/relationships/hyperlink" Target="http://www.depfin.admhmao.ru/" TargetMode="External"/><Relationship Id="rId18" Type="http://schemas.openxmlformats.org/officeDocument/2006/relationships/hyperlink" Target="consultantplus://offline/ref=798515D39B476E5701E71ADAEC34BF359CF7673A950CCAF7293B7593A9DACC1286561D9460898D63j5ZDI" TargetMode="External"/><Relationship Id="rId19" Type="http://schemas.openxmlformats.org/officeDocument/2006/relationships/hyperlink" Target="consultantplus://offline/ref=798515D39B476E5701E71ADAEC34BF359CF7673A950CCAF7293B7593A9DACC1286561D9460898D63j5ZDI" TargetMode="External"/><Relationship Id="rId20" Type="http://schemas.openxmlformats.org/officeDocument/2006/relationships/hyperlink" Target="http://www.depfin.admhmao.ru" TargetMode="External"/><Relationship Id="rId21" Type="http://schemas.openxmlformats.org/officeDocument/2006/relationships/hyperlink" Target="consultantplus://offline/ref=798515D39B476E5701E71ADAEC34BF359CF7673A950CCAF7293B7593A9DACC1286561D9460898D63j5ZDI" TargetMode="External"/><Relationship Id="rId22" Type="http://schemas.openxmlformats.org/officeDocument/2006/relationships/hyperlink" Target="consultantplus://offline/ref=798515D39B476E5701E71ADAEC34BF359CF7673A950CCAF7293B7593A9DACC1286561D9460898D63j5ZDI" TargetMode="External"/><Relationship Id="rId23" Type="http://schemas.openxmlformats.org/officeDocument/2006/relationships/hyperlink" Target="consultantplus://offline/ref=798515D39B476E5701E71ADAEC34BF359CF7673A950CCAF7293B7593A9DACC1286561D9460898D63j5ZDI" TargetMode="External"/><Relationship Id="rId24" Type="http://schemas.openxmlformats.org/officeDocument/2006/relationships/hyperlink" Target="consultantplus://offline/ref=798515D39B476E5701E71ADAEC34BF359CF7673A950CCAF7293B7593A9DACC1286561D9460898D63j5Z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60B1-E454-45F4-A410-BD83A12E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DepFin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Анна Бредихина</cp:lastModifiedBy>
  <cp:revision>17</cp:revision>
  <dcterms:created xsi:type="dcterms:W3CDTF">2025-01-17T04:40:00Z</dcterms:created>
  <dcterms:modified xsi:type="dcterms:W3CDTF">2025-05-20T08:18:02Z</dcterms:modified>
</cp:coreProperties>
</file>